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83D" w:rsidRDefault="00F1383D" w:rsidP="000B4138">
      <w:pPr>
        <w:jc w:val="center"/>
        <w:rPr>
          <w:b/>
          <w:sz w:val="31"/>
          <w:szCs w:val="31"/>
          <w:u w:val="double"/>
        </w:rPr>
      </w:pPr>
      <w:r>
        <w:rPr>
          <w:b/>
          <w:sz w:val="31"/>
          <w:szCs w:val="31"/>
          <w:u w:val="double"/>
        </w:rPr>
        <w:t>Antrag zum Bundesausschuss am 11. September 2022</w:t>
      </w:r>
      <w:bookmarkStart w:id="0" w:name="_GoBack"/>
      <w:bookmarkEnd w:id="0"/>
    </w:p>
    <w:p w:rsidR="00F1383D" w:rsidRDefault="00F1383D" w:rsidP="000B4138">
      <w:pPr>
        <w:jc w:val="center"/>
        <w:rPr>
          <w:b/>
          <w:sz w:val="31"/>
          <w:szCs w:val="31"/>
          <w:u w:val="double"/>
        </w:rPr>
      </w:pPr>
    </w:p>
    <w:p w:rsidR="00D53BA4" w:rsidRPr="00B02364" w:rsidRDefault="001C7582" w:rsidP="000B4138">
      <w:pPr>
        <w:jc w:val="center"/>
        <w:rPr>
          <w:b/>
          <w:sz w:val="31"/>
          <w:szCs w:val="31"/>
          <w:u w:val="double"/>
        </w:rPr>
      </w:pPr>
      <w:r w:rsidRPr="00B02364">
        <w:rPr>
          <w:b/>
          <w:sz w:val="31"/>
          <w:szCs w:val="31"/>
          <w:u w:val="double"/>
        </w:rPr>
        <w:t>R</w:t>
      </w:r>
      <w:r w:rsidR="00EB2E7A" w:rsidRPr="00B02364">
        <w:rPr>
          <w:b/>
          <w:sz w:val="31"/>
          <w:szCs w:val="31"/>
          <w:u w:val="double"/>
        </w:rPr>
        <w:t>echtswidrige</w:t>
      </w:r>
      <w:r w:rsidR="00813DE1" w:rsidRPr="00B02364">
        <w:rPr>
          <w:b/>
          <w:sz w:val="31"/>
          <w:szCs w:val="31"/>
          <w:u w:val="double"/>
        </w:rPr>
        <w:t>r</w:t>
      </w:r>
      <w:r w:rsidR="00EB2E7A" w:rsidRPr="00B02364">
        <w:rPr>
          <w:b/>
          <w:sz w:val="31"/>
          <w:szCs w:val="31"/>
          <w:u w:val="double"/>
        </w:rPr>
        <w:t xml:space="preserve"> Polizeigewalt und Rassismus</w:t>
      </w:r>
      <w:r w:rsidRPr="00B02364">
        <w:rPr>
          <w:b/>
          <w:sz w:val="31"/>
          <w:szCs w:val="31"/>
          <w:u w:val="double"/>
        </w:rPr>
        <w:t xml:space="preserve"> wirksam entgegentreten</w:t>
      </w:r>
    </w:p>
    <w:p w:rsidR="00AD61DD" w:rsidRPr="00B02364" w:rsidRDefault="0071607B" w:rsidP="00F84FA3">
      <w:pPr>
        <w:jc w:val="both"/>
      </w:pPr>
      <w:r w:rsidRPr="00B02364">
        <w:t>Am 18</w:t>
      </w:r>
      <w:r w:rsidR="00CB4DAF" w:rsidRPr="00B02364">
        <w:t>.06.2020 berichtete die Sendung „Monitor“ über den Fall</w:t>
      </w:r>
      <w:r w:rsidR="009066F9" w:rsidRPr="00B02364">
        <w:t xml:space="preserve"> eines in Berlin lebenden </w:t>
      </w:r>
      <w:r w:rsidRPr="00B02364">
        <w:t>Venezolaner</w:t>
      </w:r>
      <w:r w:rsidR="009066F9" w:rsidRPr="00B02364">
        <w:t>s</w:t>
      </w:r>
      <w:r w:rsidR="00CB4DAF" w:rsidRPr="00B02364">
        <w:t xml:space="preserve">. </w:t>
      </w:r>
      <w:r w:rsidRPr="00B02364">
        <w:t>Eigentlich mit dem Fahrrad unterwegs</w:t>
      </w:r>
      <w:r w:rsidR="009066F9" w:rsidRPr="00B02364">
        <w:t xml:space="preserve"> und durch ein Telefonat auf Spanisch als mutmaßlich über einen Migrationshintergrund verfügend erkennbar</w:t>
      </w:r>
      <w:r w:rsidRPr="00B02364">
        <w:t xml:space="preserve">, </w:t>
      </w:r>
      <w:r w:rsidR="009066F9" w:rsidRPr="00B02364">
        <w:t>wird</w:t>
      </w:r>
      <w:r w:rsidRPr="00B02364">
        <w:t xml:space="preserve"> er im September 2019 von </w:t>
      </w:r>
      <w:r w:rsidR="004A4A37" w:rsidRPr="00B02364">
        <w:t>Polizistinnen und Polizisten</w:t>
      </w:r>
      <w:r w:rsidRPr="00B02364">
        <w:t xml:space="preserve"> zu Boden</w:t>
      </w:r>
      <w:r w:rsidR="00C50D30" w:rsidRPr="00B02364">
        <w:t xml:space="preserve"> gebracht,</w:t>
      </w:r>
      <w:r w:rsidRPr="00B02364">
        <w:t xml:space="preserve"> geschlagen, gewürgt und getreten, immer wieder befragt, wo die Drogen und Waffen seien. Finden </w:t>
      </w:r>
      <w:r w:rsidR="009066F9" w:rsidRPr="00B02364">
        <w:t>können</w:t>
      </w:r>
      <w:r w:rsidRPr="00B02364">
        <w:t xml:space="preserve"> die </w:t>
      </w:r>
      <w:r w:rsidR="004A4A37" w:rsidRPr="00B02364">
        <w:t>Polizistinnen und Polizisten</w:t>
      </w:r>
      <w:r w:rsidR="009066F9" w:rsidRPr="00B02364">
        <w:t xml:space="preserve"> nichts. Dem Hinweis des Opfers, er sei als ambulanter Pflegehelfer tätig, schenken die </w:t>
      </w:r>
      <w:r w:rsidR="004A4A37" w:rsidRPr="00B02364">
        <w:t>Beamtinnen und Beamten</w:t>
      </w:r>
      <w:r w:rsidR="009066F9" w:rsidRPr="00B02364">
        <w:t xml:space="preserve"> zunächst keinen Glauben, bis sie schließlich seinen Dienstausw</w:t>
      </w:r>
      <w:r w:rsidR="00086107" w:rsidRPr="00B02364">
        <w:t>e</w:t>
      </w:r>
      <w:r w:rsidR="009066F9" w:rsidRPr="00B02364">
        <w:t>is finden.</w:t>
      </w:r>
      <w:r w:rsidR="00AD61DD" w:rsidRPr="00B02364">
        <w:t xml:space="preserve"> Sie lassen unmittelbar von ihrem Opfer ab und verschwinden. Das Ge</w:t>
      </w:r>
      <w:r w:rsidR="004A4A37" w:rsidRPr="00B02364">
        <w:t>schehen wird von einem Zeugen</w:t>
      </w:r>
      <w:r w:rsidR="00AD61DD" w:rsidRPr="00B02364">
        <w:t xml:space="preserve"> gefilmt.</w:t>
      </w:r>
    </w:p>
    <w:p w:rsidR="00AD61DD" w:rsidRPr="00B02364" w:rsidRDefault="00AD61DD" w:rsidP="00F84FA3">
      <w:pPr>
        <w:jc w:val="both"/>
      </w:pPr>
      <w:r w:rsidRPr="00B02364">
        <w:t xml:space="preserve">Wegen der erlittenen Verletzungen </w:t>
      </w:r>
      <w:r w:rsidR="00086107" w:rsidRPr="00B02364">
        <w:t>kommt</w:t>
      </w:r>
      <w:r w:rsidRPr="00B02364">
        <w:t xml:space="preserve"> der Venezolaner zunächst ins Krankenhaus, später in die Reha. Gerade aufgrund der psychischen Folgen </w:t>
      </w:r>
      <w:r w:rsidR="00086107" w:rsidRPr="00B02364">
        <w:t>ist</w:t>
      </w:r>
      <w:r w:rsidRPr="00B02364">
        <w:t xml:space="preserve"> er noch zum Zeitpunkt der Ausstrahlung berufsunfähig und hatte seine Arbeitsstelle aufgeben müssen.</w:t>
      </w:r>
      <w:r w:rsidR="00A376BE" w:rsidRPr="00B02364">
        <w:t xml:space="preserve"> Die Polizei indes erstattete ihrerseits Anzeige gegen den Venezolaner</w:t>
      </w:r>
      <w:r w:rsidR="00887569" w:rsidRPr="00B02364">
        <w:t xml:space="preserve"> wegen Widerstands,</w:t>
      </w:r>
      <w:r w:rsidR="00A376BE" w:rsidRPr="00B02364">
        <w:t xml:space="preserve"> tätlichen Angriffs</w:t>
      </w:r>
      <w:r w:rsidR="00887569" w:rsidRPr="00B02364">
        <w:t xml:space="preserve"> und Beleidigung</w:t>
      </w:r>
      <w:r w:rsidR="00A376BE" w:rsidRPr="00B02364">
        <w:t>. Der Ausgang des gerichtlichen Verfahrens ist noch ungewiss.</w:t>
      </w:r>
      <w:r w:rsidR="00A376BE" w:rsidRPr="00B02364">
        <w:rPr>
          <w:rStyle w:val="Funotenzeichen"/>
        </w:rPr>
        <w:footnoteReference w:id="1"/>
      </w:r>
    </w:p>
    <w:p w:rsidR="0088597F" w:rsidRPr="00B02364" w:rsidRDefault="0088597F" w:rsidP="00F84FA3">
      <w:pPr>
        <w:jc w:val="both"/>
      </w:pPr>
      <w:r w:rsidRPr="00B02364">
        <w:t xml:space="preserve">Rechtswidrige Polizeigewalt und Rassismus in der Polizei </w:t>
      </w:r>
      <w:r w:rsidR="004D2F50" w:rsidRPr="00B02364">
        <w:t xml:space="preserve">wie im </w:t>
      </w:r>
      <w:r w:rsidR="001E2FF0" w:rsidRPr="00B02364">
        <w:t>geschilderten</w:t>
      </w:r>
      <w:r w:rsidR="004D2F50" w:rsidRPr="00B02364">
        <w:t xml:space="preserve"> Fall </w:t>
      </w:r>
      <w:r w:rsidRPr="00B02364">
        <w:t xml:space="preserve">sind nicht erst seit dem Bekanntwerden einer Reihe offenbar rassistisch begründeter Übergriffe in den USA ein Thema. </w:t>
      </w:r>
      <w:r w:rsidR="00A96144" w:rsidRPr="00B02364">
        <w:t xml:space="preserve">Gleichzeitig nehmen </w:t>
      </w:r>
      <w:r w:rsidRPr="00B02364">
        <w:t xml:space="preserve">Widerstandshandlungen und tätliche Angriffe zum Nachteil von </w:t>
      </w:r>
      <w:r w:rsidR="004A4A37" w:rsidRPr="00B02364">
        <w:t>Polizistinnen und Polizisten</w:t>
      </w:r>
      <w:r w:rsidR="009D0460" w:rsidRPr="00B02364">
        <w:t xml:space="preserve"> </w:t>
      </w:r>
      <w:r w:rsidR="00A96144" w:rsidRPr="00B02364">
        <w:t xml:space="preserve">stark zu. Während diese </w:t>
      </w:r>
      <w:r w:rsidRPr="00B02364">
        <w:t>immer wieder entschiedene politische Reaktionen auslösen, die unter anderem bereits zur Verschärfung der einschlägigen Straftatbestände geführt haben, stehen</w:t>
      </w:r>
      <w:r w:rsidR="00371C94" w:rsidRPr="00B02364">
        <w:t xml:space="preserve"> Verhinderung sowie</w:t>
      </w:r>
      <w:r w:rsidRPr="00B02364">
        <w:t xml:space="preserve"> Ahndung rechtswidriger Gewaltanwendung </w:t>
      </w:r>
      <w:r w:rsidR="00371C94" w:rsidRPr="00B02364">
        <w:t>und rassistischer Verhaltensweisen seitens</w:t>
      </w:r>
      <w:r w:rsidR="006B4F83" w:rsidRPr="00B02364">
        <w:t xml:space="preserve"> der</w:t>
      </w:r>
      <w:r w:rsidRPr="00B02364">
        <w:t xml:space="preserve"> Polizei bislang häufig weiter hinten auf der politischen Agenda.</w:t>
      </w:r>
      <w:r w:rsidR="008E45B0" w:rsidRPr="00B02364">
        <w:t xml:space="preserve"> Es steht gar zu befürchten, dass durch den Trend zur Verschärfung von Polizeigesetzen problematisches Verhalten von </w:t>
      </w:r>
      <w:r w:rsidR="00E15769" w:rsidRPr="00B02364">
        <w:t>Beamtinnen und Beamten</w:t>
      </w:r>
      <w:r w:rsidR="008E45B0" w:rsidRPr="00B02364">
        <w:t xml:space="preserve"> noch an Raum gewinnt.</w:t>
      </w:r>
    </w:p>
    <w:p w:rsidR="00E02E68" w:rsidRPr="00B02364" w:rsidRDefault="00EE1F16" w:rsidP="00F84FA3">
      <w:pPr>
        <w:jc w:val="both"/>
      </w:pPr>
      <w:r w:rsidRPr="00B02364">
        <w:t>Die gesellschaftliche Diskussion hat in der jüngsten Vergangenheit jedoch deutlich an Fahrt aufgenommen</w:t>
      </w:r>
      <w:r w:rsidR="00785B17" w:rsidRPr="00B02364">
        <w:t>, nicht zuletzt nach dem Bekanntwerden der Existenz mehrerer rechtsextremer Chatgruppen in Polizeikreisen</w:t>
      </w:r>
      <w:r w:rsidRPr="00B02364">
        <w:t xml:space="preserve">. </w:t>
      </w:r>
      <w:r w:rsidR="00E02E68" w:rsidRPr="00B02364">
        <w:t>Fehl geht dabei der Einwand, gewisse Verhaltensweisen seien bei einer Polizei, die „Spiegelbild der Gesellschaft“ sein solle, eben hinzunehmen. Die Polizei als Trägerin des Gewaltmonopols</w:t>
      </w:r>
      <w:r w:rsidR="00144849" w:rsidRPr="00B02364">
        <w:t xml:space="preserve"> muss an sich </w:t>
      </w:r>
      <w:r w:rsidR="00D76ADE" w:rsidRPr="00B02364">
        <w:t xml:space="preserve">selbst </w:t>
      </w:r>
      <w:r w:rsidR="00144849" w:rsidRPr="00B02364">
        <w:t>vielmehr besonders scharfe Maßstäbe in Sachen Rec</w:t>
      </w:r>
      <w:r w:rsidR="00817953" w:rsidRPr="00B02364">
        <w:t>htsstaatlichkeit anlegen lassen.</w:t>
      </w:r>
      <w:r w:rsidR="00C37058" w:rsidRPr="00B02364">
        <w:t xml:space="preserve"> Selbst bei </w:t>
      </w:r>
      <w:r w:rsidR="005F3AB2" w:rsidRPr="00B02364">
        <w:t>der vielbeschworenen</w:t>
      </w:r>
      <w:r w:rsidR="00C37058" w:rsidRPr="00B02364">
        <w:t xml:space="preserve"> Quo</w:t>
      </w:r>
      <w:r w:rsidR="00080F93" w:rsidRPr="00B02364">
        <w:t>te von 99 Prozent rechtschaffen</w:t>
      </w:r>
      <w:r w:rsidR="00C37058" w:rsidRPr="00B02364">
        <w:t xml:space="preserve">en </w:t>
      </w:r>
      <w:r w:rsidR="00E15769" w:rsidRPr="00B02364">
        <w:t xml:space="preserve">Beamtinnen und </w:t>
      </w:r>
      <w:r w:rsidR="00C37058" w:rsidRPr="00B02364">
        <w:t>Beamten blieben bundeswei</w:t>
      </w:r>
      <w:r w:rsidR="00F934FA" w:rsidRPr="00B02364">
        <w:t>t</w:t>
      </w:r>
      <w:r w:rsidR="00C37058" w:rsidRPr="00B02364">
        <w:t xml:space="preserve"> </w:t>
      </w:r>
      <w:r w:rsidR="00857A88" w:rsidRPr="00B02364">
        <w:t>gut 2.700</w:t>
      </w:r>
      <w:r w:rsidR="00C37058" w:rsidRPr="00B02364">
        <w:t xml:space="preserve"> </w:t>
      </w:r>
      <w:r w:rsidR="00E15769" w:rsidRPr="00B02364">
        <w:t>Polizeibeamtinnen und -beamte</w:t>
      </w:r>
      <w:r w:rsidR="00343C44" w:rsidRPr="00B02364">
        <w:t xml:space="preserve"> übrig</w:t>
      </w:r>
      <w:r w:rsidR="00C37058" w:rsidRPr="00B02364">
        <w:t>, die sich rechtsstaatswidrig verhalten</w:t>
      </w:r>
      <w:r w:rsidR="00865B9C" w:rsidRPr="00B02364">
        <w:t>. Schon dies weist darauf hin, dass die These von bloßen „Einzelfällen“ kaum haltbar ist</w:t>
      </w:r>
      <w:r w:rsidR="00C37058" w:rsidRPr="00B02364">
        <w:t>.</w:t>
      </w:r>
    </w:p>
    <w:p w:rsidR="00EE1F16" w:rsidRPr="00B02364" w:rsidRDefault="00EE1F16" w:rsidP="00F84FA3">
      <w:pPr>
        <w:jc w:val="both"/>
      </w:pPr>
      <w:r w:rsidRPr="00B02364">
        <w:lastRenderedPageBreak/>
        <w:t>Mit der seit März 2018 laufenden Studie „Körperverletzung im Amt durch Polizeibeamte“ (KVIAPOL) des Kriminologen Prof. Dr. Tobias Singelnstein und seines Team von der Ruhr-Universität Bochum wird das Feld in Deutschland erstmals umfassend wissenschaftlich untersucht</w:t>
      </w:r>
      <w:r w:rsidR="002447FC" w:rsidRPr="00B02364">
        <w:t xml:space="preserve">. </w:t>
      </w:r>
      <w:r w:rsidR="00E752D1" w:rsidRPr="00B02364">
        <w:t>Dabei wurden erhebliche Missstände offenbar: So lag</w:t>
      </w:r>
      <w:r w:rsidR="00A93081" w:rsidRPr="00B02364">
        <w:t xml:space="preserve"> etwa</w:t>
      </w:r>
      <w:r w:rsidR="00E752D1" w:rsidRPr="00B02364">
        <w:t xml:space="preserve"> die Quote von Verfahren gegen Polizeibedienstete wegen Gewaltausübung und Aussetzung, die in einer Anklage oder einem Strafbefehl gemündet haben, bei unter 2 Prozent und damit deutlich </w:t>
      </w:r>
      <w:r w:rsidR="00C43802" w:rsidRPr="00B02364">
        <w:t>niedriger als der Durchschnitt aller Strafverfahren</w:t>
      </w:r>
      <w:r w:rsidR="00450C61" w:rsidRPr="00B02364">
        <w:t xml:space="preserve">; dort liegt der Wert bei </w:t>
      </w:r>
      <w:r w:rsidR="00CA5106" w:rsidRPr="00B02364">
        <w:t>24 Prozent</w:t>
      </w:r>
      <w:r w:rsidR="00C43802" w:rsidRPr="00B02364">
        <w:t xml:space="preserve">. </w:t>
      </w:r>
      <w:r w:rsidR="00922C9C" w:rsidRPr="00B02364">
        <w:t xml:space="preserve">Es bestehen erhebliche Zweifel, dass die Diskrepanz zwischen diesen beiden Zahlen allein auf die Rechtmäßigkeit polizeilicher Gewaltanwendung zurückzuführen ist. </w:t>
      </w:r>
      <w:r w:rsidR="002447FC" w:rsidRPr="00B02364">
        <w:t>Freilich wird auch nach Abschluss des Projekts noch ein erheblicher Forschungsbedarf bestehen.</w:t>
      </w:r>
    </w:p>
    <w:p w:rsidR="00CE75ED" w:rsidRPr="00B02364" w:rsidRDefault="002D33C2" w:rsidP="00F84FA3">
      <w:pPr>
        <w:jc w:val="both"/>
      </w:pPr>
      <w:r w:rsidRPr="00B02364">
        <w:t>Bereits jetzt sind</w:t>
      </w:r>
      <w:r w:rsidR="002447FC" w:rsidRPr="00B02364">
        <w:t>, unter anderem gestützt auf die Ergebnisse von KVIAPOL, eine Reihe von Maßnahmen erkennbar, die geeignet sind, die Rechtsstaatlichkeit der Polizei und damit zugleich das Vertrauen der Bevölkerung in die Polizeibehörden zu stärken.</w:t>
      </w:r>
      <w:r w:rsidR="00E84169" w:rsidRPr="00B02364">
        <w:t xml:space="preserve"> </w:t>
      </w:r>
      <w:r w:rsidR="00865B9C" w:rsidRPr="00B02364">
        <w:t xml:space="preserve">Das verspricht nicht nur eine effektivere Polizeiarbeit, sondern stärkt das Vertrauen in den Rechtsstaat allgemein und damit in unser demokratisches Gemeinwesen insgesamt. </w:t>
      </w:r>
    </w:p>
    <w:p w:rsidR="002447FC" w:rsidRPr="00B02364" w:rsidRDefault="00CE75ED" w:rsidP="00F84FA3">
      <w:pPr>
        <w:jc w:val="both"/>
      </w:pPr>
      <w:r w:rsidRPr="00B02364">
        <w:t xml:space="preserve">Während einzelne Maßnahmen in einigen Bundesländern bereits umgesetzt sind, gibt es bundesweit – auf Länder- wie auf Bundesebene – noch Handlungsbedarf. </w:t>
      </w:r>
      <w:r w:rsidR="00E84169" w:rsidRPr="000B4138">
        <w:t>Die Sozialdemokrat</w:t>
      </w:r>
      <w:r w:rsidR="00E84169" w:rsidRPr="00B02364">
        <w:t xml:space="preserve">ie muss </w:t>
      </w:r>
      <w:r w:rsidR="00827FEF" w:rsidRPr="00B02364">
        <w:t>auf Bundes- und Länderebene</w:t>
      </w:r>
      <w:r w:rsidR="00E84169" w:rsidRPr="00B02364">
        <w:t xml:space="preserve"> entschieden für die </w:t>
      </w:r>
      <w:r w:rsidR="00CB1150" w:rsidRPr="00B02364">
        <w:t>Umsetzung dieser Maßnahmen eintreten und sie, wo die SPD selbst Regierungsverantwortung trägt, selbst sicherstellen.</w:t>
      </w:r>
    </w:p>
    <w:p w:rsidR="00E84169" w:rsidRPr="00B02364" w:rsidRDefault="00F37A99" w:rsidP="00F84FA3">
      <w:pPr>
        <w:pStyle w:val="Listenabsatz"/>
        <w:numPr>
          <w:ilvl w:val="0"/>
          <w:numId w:val="3"/>
        </w:numPr>
        <w:jc w:val="both"/>
      </w:pPr>
      <w:r w:rsidRPr="00B02364">
        <w:t xml:space="preserve">Eine </w:t>
      </w:r>
      <w:r w:rsidR="00B25E12" w:rsidRPr="00B02364">
        <w:rPr>
          <w:b/>
        </w:rPr>
        <w:t xml:space="preserve">Pflicht zur gut sichtbaren </w:t>
      </w:r>
      <w:r w:rsidRPr="00B02364">
        <w:rPr>
          <w:b/>
        </w:rPr>
        <w:t>Kennzeichnung</w:t>
      </w:r>
      <w:r w:rsidR="00B33383" w:rsidRPr="00B02364">
        <w:t xml:space="preserve"> für Polizeibeamtinnen und -beamte</w:t>
      </w:r>
      <w:r w:rsidR="00AD6878" w:rsidRPr="00B02364">
        <w:t>, entweder anhand eines Namensschildes oder anhand einer</w:t>
      </w:r>
      <w:r w:rsidR="00B25E12" w:rsidRPr="00B02364">
        <w:t xml:space="preserve"> einprägsamen</w:t>
      </w:r>
      <w:r w:rsidR="00AD6878" w:rsidRPr="00B02364">
        <w:t xml:space="preserve"> Nummer, stellt die Nachverfolgbarkeit von Fehlverhalten sicher. </w:t>
      </w:r>
      <w:r w:rsidR="007A2FBA" w:rsidRPr="00B02364">
        <w:t xml:space="preserve">Länder wie Berlin, Bremen oder Brandenburg haben diese Forderung schon umgesetzt. </w:t>
      </w:r>
      <w:r w:rsidR="00AD6878" w:rsidRPr="00B02364">
        <w:t>Gerade im Bereich von Großveranstaltungen scheitern Ermittlungen gegen Beamt</w:t>
      </w:r>
      <w:r w:rsidR="00B33383" w:rsidRPr="00B02364">
        <w:t xml:space="preserve">innen und Beamte </w:t>
      </w:r>
      <w:r w:rsidR="00AD6878" w:rsidRPr="00B02364">
        <w:t xml:space="preserve">häufig an der mangelnden Identifizierbarkeit. Fälle, in denen </w:t>
      </w:r>
      <w:r w:rsidR="00B33383" w:rsidRPr="00B02364">
        <w:t xml:space="preserve">Polizeibeamtinnen und -beamte </w:t>
      </w:r>
      <w:r w:rsidR="00AD6878" w:rsidRPr="00B02364">
        <w:t xml:space="preserve">im </w:t>
      </w:r>
      <w:r w:rsidR="009E0B6F" w:rsidRPr="00B02364">
        <w:t>persönlichen Umfeld Repressalien durch Dritte ausgesetzt waren, nachdem sie – zumal aufgrund einer Nummer – im Rahmen von Einsätzen identifiziert worden waren, sind dagegen, trotz entsprechender gewerkschaftlicher Warnungen, nicht bekannt.</w:t>
      </w:r>
      <w:r w:rsidR="00D76ADE" w:rsidRPr="00B02364">
        <w:t xml:space="preserve"> Diese Problematik muss jedoch in Zukunft sorgfältig beobachtet werden.</w:t>
      </w:r>
    </w:p>
    <w:p w:rsidR="00D36C54" w:rsidRPr="00B02364" w:rsidRDefault="00EF3E8E" w:rsidP="00F84FA3">
      <w:pPr>
        <w:pStyle w:val="Listenabsatz"/>
        <w:numPr>
          <w:ilvl w:val="0"/>
          <w:numId w:val="3"/>
        </w:numPr>
        <w:jc w:val="both"/>
      </w:pPr>
      <w:r w:rsidRPr="00B02364">
        <w:t xml:space="preserve">Notwendig ist die Etablierung einer </w:t>
      </w:r>
      <w:r w:rsidRPr="00B02364">
        <w:rPr>
          <w:b/>
        </w:rPr>
        <w:t>offenen Fehlerkultur</w:t>
      </w:r>
      <w:r w:rsidRPr="00B02364">
        <w:t>. Kein Mensch, auch kein Polizeibeamter</w:t>
      </w:r>
      <w:r w:rsidR="009D0460" w:rsidRPr="00B02364">
        <w:t xml:space="preserve"> </w:t>
      </w:r>
      <w:r w:rsidR="00B33383" w:rsidRPr="00B02364">
        <w:t>und keine Polizeibeamtin</w:t>
      </w:r>
      <w:r w:rsidRPr="00B02364">
        <w:t xml:space="preserve">, kann in jeder Situation fehlerfrei arbeiten. Umso wichtiger ist im Dienstalltag die </w:t>
      </w:r>
      <w:r w:rsidRPr="00B02364">
        <w:rPr>
          <w:b/>
        </w:rPr>
        <w:t>Zeit zur Supervision</w:t>
      </w:r>
      <w:r w:rsidRPr="00B02364">
        <w:t xml:space="preserve"> in Gestalt der </w:t>
      </w:r>
      <w:r w:rsidRPr="00B02364">
        <w:rPr>
          <w:b/>
        </w:rPr>
        <w:t>Aufarbeitung problematischer Einsatzsituationen</w:t>
      </w:r>
      <w:r w:rsidRPr="00B02364">
        <w:t xml:space="preserve">. </w:t>
      </w:r>
      <w:r w:rsidR="00CF6CC6" w:rsidRPr="00B02364">
        <w:t>Diese Zeit fehlt nach Erfahrung vieler Polizeibeamt</w:t>
      </w:r>
      <w:r w:rsidR="00B33383" w:rsidRPr="00B02364">
        <w:t>innen und -beamte</w:t>
      </w:r>
      <w:r w:rsidR="00CF6CC6" w:rsidRPr="00B02364">
        <w:t>r</w:t>
      </w:r>
      <w:r w:rsidR="00B33383" w:rsidRPr="00B02364">
        <w:t xml:space="preserve"> </w:t>
      </w:r>
      <w:r w:rsidR="00CF6CC6" w:rsidRPr="00B02364">
        <w:t>im Alltag. Dabei darf der Fokus nicht primär auf einer repressiven Reaktion auf – vermeintliches oder tatsächliches – Fehlverhalten</w:t>
      </w:r>
      <w:r w:rsidR="00B33383" w:rsidRPr="00B02364">
        <w:t xml:space="preserve"> liegen, die die Beamtinnen und Beamten</w:t>
      </w:r>
      <w:r w:rsidR="00CF6CC6" w:rsidRPr="00B02364">
        <w:t xml:space="preserve"> von vornherein in eine Abwehrhaltung drängt, sondern im Vordergrund muss </w:t>
      </w:r>
      <w:r w:rsidR="00F54607" w:rsidRPr="00B02364">
        <w:t xml:space="preserve">das </w:t>
      </w:r>
      <w:r w:rsidR="00CF6CC6" w:rsidRPr="00B02364">
        <w:t>Ziel stehen, kritische Situationen so zu reflektieren, dass sie in Zukunft besser gelöst werden.</w:t>
      </w:r>
      <w:r w:rsidR="008D6BD1" w:rsidRPr="00B02364">
        <w:t xml:space="preserve"> </w:t>
      </w:r>
      <w:r w:rsidR="00F348B7" w:rsidRPr="00B02364">
        <w:t>Überall, g</w:t>
      </w:r>
      <w:r w:rsidR="008D6BD1" w:rsidRPr="00B02364">
        <w:t xml:space="preserve">erade </w:t>
      </w:r>
      <w:r w:rsidR="00F348B7" w:rsidRPr="00B02364">
        <w:t xml:space="preserve">aber </w:t>
      </w:r>
      <w:r w:rsidR="008D6BD1" w:rsidRPr="00B02364">
        <w:t xml:space="preserve">in Brennpunkten ist dabei zusätzlich die regelmäßige </w:t>
      </w:r>
      <w:r w:rsidR="008D6BD1" w:rsidRPr="00B02364">
        <w:rPr>
          <w:b/>
        </w:rPr>
        <w:t>Betreuung durch Psychologen</w:t>
      </w:r>
      <w:r w:rsidR="008D6BD1" w:rsidRPr="00B02364">
        <w:t xml:space="preserve"> nötig, wie sie andere Bundesländer zum Teil bereits</w:t>
      </w:r>
      <w:r w:rsidR="0001688D" w:rsidRPr="00B02364">
        <w:t xml:space="preserve"> flächendeckend</w:t>
      </w:r>
      <w:r w:rsidR="008D6BD1" w:rsidRPr="00B02364">
        <w:t xml:space="preserve"> etabliert haben, um eine etwaige Verfestigung rechtsstaatlich problematischer Einstellungen und Handlungsroutinen frühzeitig zu erkennen und ihr entgegenzuwirken. Entsprechende Konzepte sollten polizeiwissenschaft</w:t>
      </w:r>
      <w:r w:rsidR="008D6BD1" w:rsidRPr="00B02364">
        <w:lastRenderedPageBreak/>
        <w:t>lich erarbeitet werden.</w:t>
      </w:r>
      <w:r w:rsidR="00D3478C" w:rsidRPr="00B02364">
        <w:t xml:space="preserve"> Auch eine </w:t>
      </w:r>
      <w:r w:rsidR="00D3478C" w:rsidRPr="00B02364">
        <w:rPr>
          <w:b/>
        </w:rPr>
        <w:t>höhere Personalrotation</w:t>
      </w:r>
      <w:r w:rsidR="00D3478C" w:rsidRPr="00B02364">
        <w:t xml:space="preserve"> für Beamtinnen und Beamte in besonders konfrontativen Einsatzgebieten – etwa in Brennpunktbezirken oder als Teil von Hundertschaften – sollte zur Vermeidung übermäßiger Frustration eruiert werden.</w:t>
      </w:r>
    </w:p>
    <w:p w:rsidR="00CC49D7" w:rsidRPr="00B02364" w:rsidRDefault="00CC49D7" w:rsidP="00F84FA3">
      <w:pPr>
        <w:pStyle w:val="Listenabsatz"/>
        <w:numPr>
          <w:ilvl w:val="0"/>
          <w:numId w:val="3"/>
        </w:numPr>
        <w:jc w:val="both"/>
      </w:pPr>
      <w:r w:rsidRPr="00B02364">
        <w:t xml:space="preserve">Teil dieser Fehlerkultur muss zugleich die Unterstützung jener </w:t>
      </w:r>
      <w:r w:rsidR="00B1662F" w:rsidRPr="00B02364">
        <w:t>Beamtinnen und Beamten</w:t>
      </w:r>
      <w:r w:rsidRPr="00B02364">
        <w:t xml:space="preserve"> sein, die </w:t>
      </w:r>
      <w:r w:rsidR="007B18E4" w:rsidRPr="00B02364">
        <w:rPr>
          <w:b/>
        </w:rPr>
        <w:t>rechtsstaatswidriges</w:t>
      </w:r>
      <w:r w:rsidRPr="00B02364">
        <w:rPr>
          <w:b/>
        </w:rPr>
        <w:t xml:space="preserve"> </w:t>
      </w:r>
      <w:r w:rsidR="006428C6" w:rsidRPr="00B02364">
        <w:rPr>
          <w:b/>
        </w:rPr>
        <w:t xml:space="preserve">oder zur Rechtsstaatswidrigkeit neigendes </w:t>
      </w:r>
      <w:r w:rsidRPr="00B02364">
        <w:rPr>
          <w:b/>
        </w:rPr>
        <w:t>Verhalten zur Sprache bringen</w:t>
      </w:r>
      <w:r w:rsidRPr="00B02364">
        <w:t xml:space="preserve">. Sie dürfen nicht länger </w:t>
      </w:r>
      <w:r w:rsidR="00FE5E90">
        <w:t xml:space="preserve">von Teilen der Kolleginnen und Kollegen </w:t>
      </w:r>
      <w:r w:rsidRPr="00B02364">
        <w:t>als „Nestbeschmutzer“ oder „Verräter“ angesehen werden, sondern verdienen positive Wertsch</w:t>
      </w:r>
      <w:r w:rsidR="009D0460" w:rsidRPr="00B02364">
        <w:t>ätzung auch und gerade aus dem Kreis der Kol</w:t>
      </w:r>
      <w:r w:rsidR="00B1662F" w:rsidRPr="00B02364">
        <w:t>leginnen und Kollegen</w:t>
      </w:r>
      <w:r w:rsidR="009D0460" w:rsidRPr="00B02364">
        <w:t xml:space="preserve"> </w:t>
      </w:r>
      <w:r w:rsidRPr="00B02364">
        <w:t>für das Bestreben, die polizeiliche Arbeit zu verbessern</w:t>
      </w:r>
      <w:r w:rsidR="00EF251A" w:rsidRPr="00B02364">
        <w:t xml:space="preserve"> und ihrer rechtsstaatlichen Verantwortung nachzukommen</w:t>
      </w:r>
      <w:r w:rsidRPr="00B02364">
        <w:t>.</w:t>
      </w:r>
      <w:r w:rsidR="003E20AD" w:rsidRPr="00B02364">
        <w:t xml:space="preserve"> Dafür bedarf es </w:t>
      </w:r>
      <w:r w:rsidR="00D71FB2" w:rsidRPr="00B02364">
        <w:t>zugleich</w:t>
      </w:r>
      <w:r w:rsidR="003E20AD" w:rsidRPr="00B02364">
        <w:t xml:space="preserve"> </w:t>
      </w:r>
      <w:r w:rsidR="003E20AD" w:rsidRPr="00B02364">
        <w:rPr>
          <w:b/>
        </w:rPr>
        <w:t>niederschwelliger Kontaktmöglichkeiten</w:t>
      </w:r>
      <w:r w:rsidR="003E20AD" w:rsidRPr="00B02364">
        <w:t xml:space="preserve">, um Fehlverhalten </w:t>
      </w:r>
      <w:r w:rsidR="00D71FB2" w:rsidRPr="00B02364">
        <w:t xml:space="preserve">– </w:t>
      </w:r>
      <w:r w:rsidR="00D71FB2" w:rsidRPr="00B02364">
        <w:rPr>
          <w:b/>
        </w:rPr>
        <w:t>auch anonym</w:t>
      </w:r>
      <w:r w:rsidR="00D71FB2" w:rsidRPr="00B02364">
        <w:t xml:space="preserve"> – </w:t>
      </w:r>
      <w:r w:rsidR="003E20AD" w:rsidRPr="00B02364">
        <w:t xml:space="preserve">auch dann anzusprechen, wenn im konkreten Fall der Eindruck besteht, dass dies innerhalb der eigenen Einheit </w:t>
      </w:r>
      <w:r w:rsidR="003C7584" w:rsidRPr="00B02364">
        <w:t>nicht möglich ist.</w:t>
      </w:r>
    </w:p>
    <w:p w:rsidR="001011C0" w:rsidRPr="00B02364" w:rsidRDefault="001011C0" w:rsidP="00F84FA3">
      <w:pPr>
        <w:pStyle w:val="Listenabsatz"/>
        <w:numPr>
          <w:ilvl w:val="0"/>
          <w:numId w:val="3"/>
        </w:numPr>
        <w:jc w:val="both"/>
        <w:rPr>
          <w:b/>
        </w:rPr>
      </w:pPr>
      <w:r w:rsidRPr="00B02364">
        <w:t xml:space="preserve">Entscheidend ist darüber hinaus </w:t>
      </w:r>
      <w:r w:rsidRPr="00B02364">
        <w:rPr>
          <w:b/>
        </w:rPr>
        <w:t>periodisch wiederkehrende</w:t>
      </w:r>
      <w:r w:rsidRPr="00B02364">
        <w:t xml:space="preserve"> </w:t>
      </w:r>
      <w:r w:rsidRPr="00B02364">
        <w:rPr>
          <w:b/>
        </w:rPr>
        <w:t>verpflichtende Aus- und Fortbildungsmaßnahmen</w:t>
      </w:r>
      <w:r w:rsidRPr="00B02364">
        <w:t xml:space="preserve"> zu rechtswidriger Polizeigewalt und Rassismus. Derartige Inhalte bleiben bislang häufig auf die Ausbildung am Anfang der Karriere beschränkt. Einschlägige Fortbildungsangebote gibt es in deutlich zu geringem Umfang, die zudem häufig auf Freiwilligkeit beruhen – Anordnungen zur Teilnahme </w:t>
      </w:r>
      <w:r w:rsidR="00F54607" w:rsidRPr="00B02364">
        <w:t xml:space="preserve">werden </w:t>
      </w:r>
      <w:r w:rsidRPr="00B02364">
        <w:t xml:space="preserve">nur selten </w:t>
      </w:r>
      <w:r w:rsidR="00F54607" w:rsidRPr="00B02364">
        <w:t xml:space="preserve">ausgesprochen </w:t>
      </w:r>
      <w:r w:rsidRPr="00B02364">
        <w:t xml:space="preserve">– und damit die </w:t>
      </w:r>
      <w:r w:rsidR="00B1662F" w:rsidRPr="00B02364">
        <w:t>Beamtinnen und Beamten</w:t>
      </w:r>
      <w:r w:rsidRPr="00B02364">
        <w:t xml:space="preserve"> mit problematischem Verhalten in der Regel gerade nicht erreichen.</w:t>
      </w:r>
    </w:p>
    <w:p w:rsidR="00E10B01" w:rsidRPr="00B02364" w:rsidRDefault="00E10B01" w:rsidP="00F84FA3">
      <w:pPr>
        <w:pStyle w:val="Listenabsatz"/>
        <w:numPr>
          <w:ilvl w:val="0"/>
          <w:numId w:val="3"/>
        </w:numPr>
        <w:jc w:val="both"/>
        <w:rPr>
          <w:b/>
        </w:rPr>
      </w:pPr>
      <w:r w:rsidRPr="00B02364">
        <w:t xml:space="preserve">Die </w:t>
      </w:r>
      <w:r w:rsidRPr="00B02364">
        <w:rPr>
          <w:b/>
        </w:rPr>
        <w:t>Position von Betroffenen von rechtswidriger Polizeigewalt und polizeilichem Rassismus muss gestärkt werden</w:t>
      </w:r>
      <w:r w:rsidRPr="00B02364">
        <w:t xml:space="preserve">. Hierzu bedarf es vor allem der Etablierung </w:t>
      </w:r>
      <w:r w:rsidRPr="00B02364">
        <w:rPr>
          <w:b/>
        </w:rPr>
        <w:t>unabhängiger Beschwerdestellen</w:t>
      </w:r>
      <w:r w:rsidRPr="00B02364">
        <w:t>, die einschlägig</w:t>
      </w:r>
      <w:r w:rsidR="00B2003E" w:rsidRPr="00B02364">
        <w:t>en Vorwürfen gegen Polizeibeamtinnen und -beamte</w:t>
      </w:r>
      <w:r w:rsidRPr="00B02364">
        <w:t xml:space="preserve"> mit der nötigen Distanz nachgehen können, die Polizei und Staatsanwaltschaften ansonsten gerade nicht eigen ist. Dies macht die Ermittlungen fundierter und stärkt zugleich das Vertrauen der Beschwerdeführer</w:t>
      </w:r>
      <w:r w:rsidR="00B2003E" w:rsidRPr="00B02364">
        <w:t>innen und Beschwerdeführer</w:t>
      </w:r>
      <w:r w:rsidRPr="00B02364">
        <w:t xml:space="preserve"> in die rechtsstaatlichen Abläufe. Vorbild kann hier etwa Dänemark sein, wo eine entsprechende Institution eingerichtet wurde, die gerade nicht mit Polizeibe</w:t>
      </w:r>
      <w:r w:rsidR="00B2003E" w:rsidRPr="00B02364">
        <w:t>amtinnen -beamten</w:t>
      </w:r>
      <w:r w:rsidRPr="00B02364">
        <w:t xml:space="preserve">, sondern mit </w:t>
      </w:r>
      <w:r w:rsidR="00B2003E" w:rsidRPr="00B02364">
        <w:t xml:space="preserve">Juristinnen und </w:t>
      </w:r>
      <w:r w:rsidRPr="00B02364">
        <w:t>Juristen</w:t>
      </w:r>
      <w:r w:rsidR="00B2003E" w:rsidRPr="00B02364">
        <w:t xml:space="preserve"> </w:t>
      </w:r>
      <w:r w:rsidRPr="00B02364">
        <w:t>besetzt ist.</w:t>
      </w:r>
      <w:r w:rsidR="000C38B7" w:rsidRPr="00B02364">
        <w:t xml:space="preserve"> Diese Institutionen können zugleich die oben angesprochenen niederschwe</w:t>
      </w:r>
      <w:r w:rsidR="00B2003E" w:rsidRPr="00B02364">
        <w:t>l</w:t>
      </w:r>
      <w:r w:rsidR="000C38B7" w:rsidRPr="00B02364">
        <w:t>ligen Kontaktmöglichkeiten für Polizeibeam</w:t>
      </w:r>
      <w:r w:rsidR="00B2003E" w:rsidRPr="00B02364">
        <w:t>tinnen und -beamte</w:t>
      </w:r>
      <w:r w:rsidR="000C38B7" w:rsidRPr="00B02364">
        <w:t xml:space="preserve"> bereitstellen.</w:t>
      </w:r>
      <w:r w:rsidR="00EA1784" w:rsidRPr="00B02364">
        <w:t xml:space="preserve"> Wichtig sind die Einräumung ausreichender Ermittlungs- und Kontrollbefugnisse ebenso wie die hinreichende Ausstattung mit Personal.</w:t>
      </w:r>
      <w:r w:rsidR="00386611" w:rsidRPr="00B02364">
        <w:t xml:space="preserve"> Nicht ausreichend sind dagegen Modelle wie das 2019 in NRW eingeführte, in dem das Amt des Polizeibeauftragt</w:t>
      </w:r>
      <w:r w:rsidR="004A4A37" w:rsidRPr="00B02364">
        <w:t xml:space="preserve">en selbst mit einem Polizisten </w:t>
      </w:r>
      <w:r w:rsidR="00386611" w:rsidRPr="00B02364">
        <w:t>besetzt wird, der zudem kaum eigene Kompetenzen hat.</w:t>
      </w:r>
    </w:p>
    <w:p w:rsidR="00371C94" w:rsidRPr="00B02364" w:rsidRDefault="00290AD9" w:rsidP="00F84FA3">
      <w:pPr>
        <w:pStyle w:val="Listenabsatz"/>
        <w:numPr>
          <w:ilvl w:val="0"/>
          <w:numId w:val="3"/>
        </w:numPr>
        <w:jc w:val="both"/>
      </w:pPr>
      <w:r w:rsidRPr="00B02364">
        <w:t xml:space="preserve">Speziell Opfern von </w:t>
      </w:r>
      <w:r w:rsidR="00DC7FEB" w:rsidRPr="00B02364">
        <w:rPr>
          <w:i/>
        </w:rPr>
        <w:t>r</w:t>
      </w:r>
      <w:r w:rsidRPr="00B02364">
        <w:rPr>
          <w:i/>
        </w:rPr>
        <w:t xml:space="preserve">acial </w:t>
      </w:r>
      <w:r w:rsidR="00DC7FEB" w:rsidRPr="00B02364">
        <w:rPr>
          <w:i/>
        </w:rPr>
        <w:t>p</w:t>
      </w:r>
      <w:r w:rsidRPr="00B02364">
        <w:rPr>
          <w:i/>
        </w:rPr>
        <w:t>rofiling</w:t>
      </w:r>
      <w:r w:rsidRPr="00B02364">
        <w:t xml:space="preserve"> kann die </w:t>
      </w:r>
      <w:r w:rsidR="008220A1" w:rsidRPr="00B02364">
        <w:t xml:space="preserve">– jüngst </w:t>
      </w:r>
      <w:r w:rsidR="00A930BF" w:rsidRPr="00B02364">
        <w:t xml:space="preserve">etwa </w:t>
      </w:r>
      <w:r w:rsidR="008220A1" w:rsidRPr="00B02364">
        <w:t xml:space="preserve">in Bremen </w:t>
      </w:r>
      <w:r w:rsidR="0052333F" w:rsidRPr="00B02364">
        <w:t xml:space="preserve">zumindest für bestimmte Fälle </w:t>
      </w:r>
      <w:r w:rsidR="008220A1" w:rsidRPr="00B02364">
        <w:t xml:space="preserve">im Polizeigesetz verankerte – </w:t>
      </w:r>
      <w:r w:rsidRPr="00B02364">
        <w:t xml:space="preserve">Einführung von </w:t>
      </w:r>
      <w:r w:rsidRPr="00B02364">
        <w:rPr>
          <w:b/>
        </w:rPr>
        <w:t>Kontrollquittungen</w:t>
      </w:r>
      <w:r w:rsidRPr="00B02364">
        <w:t xml:space="preserve"> helfen,</w:t>
      </w:r>
      <w:r w:rsidR="00DE01DF" w:rsidRPr="00B02364">
        <w:t xml:space="preserve"> </w:t>
      </w:r>
      <w:r w:rsidRPr="00B02364">
        <w:t xml:space="preserve">mit der </w:t>
      </w:r>
      <w:r w:rsidR="00B2003E" w:rsidRPr="00B02364">
        <w:t>die kontrollierte Person</w:t>
      </w:r>
      <w:r w:rsidRPr="00B02364">
        <w:t xml:space="preserve"> eine Bescheinigung über Modalitäten</w:t>
      </w:r>
      <w:r w:rsidR="00B2003E" w:rsidRPr="00B02364">
        <w:t>, Rechtsgrundlage und Ergebnis der</w:t>
      </w:r>
      <w:r w:rsidRPr="00B02364">
        <w:t xml:space="preserve"> polizeilichen Kontrolle erhält. </w:t>
      </w:r>
      <w:r w:rsidR="00146475" w:rsidRPr="00B02364">
        <w:t xml:space="preserve">Dieses etwa in Großbritannien bereits erprobte Modell erlaubt es </w:t>
      </w:r>
      <w:r w:rsidR="00843AD8" w:rsidRPr="00B02364">
        <w:t>Angehörigen ethnischer Minderheiten nachzuweisen, wenn sie tatsächlich besonders häufig kontrolliert werden, und ermöglicht damit zugleich eine Aufarbeitung entsprechender Praktiken.</w:t>
      </w:r>
    </w:p>
    <w:p w:rsidR="002A2238" w:rsidRPr="00B02364" w:rsidRDefault="00E87CE7" w:rsidP="00F84FA3">
      <w:pPr>
        <w:pStyle w:val="Listenabsatz"/>
        <w:numPr>
          <w:ilvl w:val="0"/>
          <w:numId w:val="3"/>
        </w:numPr>
        <w:jc w:val="both"/>
      </w:pPr>
      <w:r w:rsidRPr="00B02364">
        <w:t>Zur Sicherung der Nachvollziehbarkeit polizeilichen Handelns und der Auswertbarkeit etwaigen Fehlverhaltens sol</w:t>
      </w:r>
      <w:r w:rsidR="00D85B95" w:rsidRPr="00B02364">
        <w:t>lte mittelfristig die</w:t>
      </w:r>
      <w:r w:rsidRPr="00B02364">
        <w:t xml:space="preserve"> </w:t>
      </w:r>
      <w:r w:rsidRPr="00B02364">
        <w:rPr>
          <w:b/>
        </w:rPr>
        <w:t xml:space="preserve">flächendeckende Nutzung von Körperkameras </w:t>
      </w:r>
      <w:r w:rsidRPr="00B02364">
        <w:rPr>
          <w:b/>
        </w:rPr>
        <w:lastRenderedPageBreak/>
        <w:t>(„Bodycams“)</w:t>
      </w:r>
      <w:r w:rsidR="00D85B95" w:rsidRPr="00B02364">
        <w:t xml:space="preserve"> </w:t>
      </w:r>
      <w:r w:rsidR="00DA37B1" w:rsidRPr="00B02364">
        <w:t xml:space="preserve">zur Bild- und Tonaufzeichnung </w:t>
      </w:r>
      <w:r w:rsidR="00D85B95" w:rsidRPr="00B02364">
        <w:t>im Einsatz erfolgen</w:t>
      </w:r>
      <w:r w:rsidR="00E26A71" w:rsidRPr="00B02364">
        <w:t>, die bisher nur in Ansätzen umgesetzt wird</w:t>
      </w:r>
      <w:r w:rsidR="00D85B95" w:rsidRPr="00B02364">
        <w:t>.</w:t>
      </w:r>
      <w:r w:rsidR="00AE6C27" w:rsidRPr="00B02364">
        <w:t xml:space="preserve"> Erforderlichenfalls sind die verfassungsrechtlichen Rahmenbedingungen hierfür anzupassen.</w:t>
      </w:r>
      <w:r w:rsidR="00274F56" w:rsidRPr="00B02364">
        <w:t xml:space="preserve"> Erfahrungen aus dem Ausland, etwa </w:t>
      </w:r>
      <w:r w:rsidR="00D75852" w:rsidRPr="00B02364">
        <w:t>in einigen Staaten der</w:t>
      </w:r>
      <w:r w:rsidR="00274F56" w:rsidRPr="00B02364">
        <w:t xml:space="preserve"> USA, zeigen, dass </w:t>
      </w:r>
      <w:r w:rsidR="00433534" w:rsidRPr="00B02364">
        <w:t xml:space="preserve">hierdurch </w:t>
      </w:r>
      <w:r w:rsidR="004A4A37" w:rsidRPr="00B02364">
        <w:t>Polizeibeamtinnen und -beamte</w:t>
      </w:r>
      <w:r w:rsidR="00433534" w:rsidRPr="00B02364">
        <w:t xml:space="preserve"> selbst diszipliniert werden, weil sie um die deutlich einfachere Verfolgbarkeit etwaigen Fehlverhaltens wissen, dass aber zugleich auch die Angriffe gegen </w:t>
      </w:r>
      <w:r w:rsidR="004A4A37" w:rsidRPr="00B02364">
        <w:t xml:space="preserve">Polizeibeamtinnen und -beamte </w:t>
      </w:r>
      <w:r w:rsidR="00433534" w:rsidRPr="00B02364">
        <w:t xml:space="preserve">zurückgehen, </w:t>
      </w:r>
      <w:r w:rsidR="008408CF" w:rsidRPr="00B02364">
        <w:t>weil auch diese Taten unmittelbar dokumentiert werden.</w:t>
      </w:r>
      <w:r w:rsidR="009224BA" w:rsidRPr="00B02364">
        <w:t xml:space="preserve"> Wichtig ist hierbei, dass es nicht im Ermessen der </w:t>
      </w:r>
      <w:r w:rsidR="00B2003E" w:rsidRPr="00B02364">
        <w:t xml:space="preserve">Beamtinnen und Beamten </w:t>
      </w:r>
      <w:r w:rsidR="009224BA" w:rsidRPr="00B02364">
        <w:t>stehen darf, die Kameras ein- bzw. auszuschalten, sondern dass zunächst jedes Einsatzgeschehen gefilmt wird, und dass die Speicherung der Daten so erfolgt, dass eine Löschung durch die Polizei ausgeschlossen ist.</w:t>
      </w:r>
      <w:r w:rsidR="005D25E6" w:rsidRPr="00B02364">
        <w:t xml:space="preserve"> Dabei </w:t>
      </w:r>
      <w:r w:rsidR="00BE585A" w:rsidRPr="00B02364">
        <w:t>sollte stets eine Vor-Aufzeichnung stattfinden, das heißt wenn ein Einsatzgeschehen beginnt und die Beamtin/der Beamte daraufhin – verpflichtend – die Kamera aktiviert, sollte die Aufzeichnung auch eine gewisse Zeitspanne (bspw. eine Minute) vor dem Zeitpunkt des Knopfdrucks umfassen, um insbesondere die Entstehung einer Situation (etwa einen Angriff auf die Beamtinnen und Beamten) besser nachvollziehen zu können.</w:t>
      </w:r>
    </w:p>
    <w:p w:rsidR="000E4FB5" w:rsidRPr="00B02364" w:rsidRDefault="000E4FB5" w:rsidP="00D6075B">
      <w:pPr>
        <w:pStyle w:val="Listenabsatz"/>
        <w:numPr>
          <w:ilvl w:val="0"/>
          <w:numId w:val="3"/>
        </w:numPr>
        <w:jc w:val="both"/>
      </w:pPr>
      <w:r w:rsidRPr="00B02364">
        <w:t>Um die Beweissicherung</w:t>
      </w:r>
      <w:r w:rsidR="00DC3EF1" w:rsidRPr="00B02364">
        <w:t xml:space="preserve"> durch Betroffene und Dritte</w:t>
      </w:r>
      <w:r w:rsidRPr="00B02364">
        <w:t xml:space="preserve"> in </w:t>
      </w:r>
      <w:r w:rsidR="00DC3EF1" w:rsidRPr="00B02364">
        <w:t xml:space="preserve">potentiell problematischen Situationen nicht zu erschweren, bedarf es darüber hinaus einer Klarstellung, dass die </w:t>
      </w:r>
      <w:r w:rsidR="00DC3EF1" w:rsidRPr="00B02364">
        <w:rPr>
          <w:b/>
        </w:rPr>
        <w:t>Videoaufzeichnung von Einsatzhandlungen nicht unter den Tatbestand des § 201 StGB</w:t>
      </w:r>
      <w:r w:rsidR="00344984" w:rsidRPr="00B02364">
        <w:rPr>
          <w:b/>
        </w:rPr>
        <w:t xml:space="preserve"> (</w:t>
      </w:r>
      <w:r w:rsidR="00344984" w:rsidRPr="00B02364">
        <w:rPr>
          <w:b/>
          <w:kern w:val="36"/>
          <w:lang w:eastAsia="de-DE"/>
        </w:rPr>
        <w:t>Verletzung der Vertraulichkeit des Wortes</w:t>
      </w:r>
      <w:r w:rsidR="00344984" w:rsidRPr="00B02364">
        <w:rPr>
          <w:b/>
        </w:rPr>
        <w:t>)</w:t>
      </w:r>
      <w:r w:rsidR="00DC3EF1" w:rsidRPr="00B02364">
        <w:rPr>
          <w:b/>
        </w:rPr>
        <w:t xml:space="preserve"> fällt</w:t>
      </w:r>
      <w:r w:rsidR="00DC3EF1" w:rsidRPr="00B02364">
        <w:t>. Immer wieder werden derartige Aufzeichnungen bislang polizeilich mit Verweis auf die Strafvorschrift unterbunden od</w:t>
      </w:r>
      <w:r w:rsidR="00C82E54" w:rsidRPr="00B02364">
        <w:t xml:space="preserve">er gar </w:t>
      </w:r>
      <w:r w:rsidR="00C57665" w:rsidRPr="00B02364">
        <w:t xml:space="preserve">strafgerichtlich </w:t>
      </w:r>
      <w:r w:rsidR="00C82E54" w:rsidRPr="00B02364">
        <w:t xml:space="preserve">verfolgt. Dabei wird </w:t>
      </w:r>
      <w:r w:rsidR="00F341A5" w:rsidRPr="00B02364">
        <w:t xml:space="preserve">von den </w:t>
      </w:r>
      <w:r w:rsidR="00A70496" w:rsidRPr="00B02364">
        <w:t>Gerichten</w:t>
      </w:r>
      <w:r w:rsidR="00C82E54" w:rsidRPr="00B02364">
        <w:t xml:space="preserve"> unterschiedlich beurteilt, ob die Norm einschlägig ist (vgl. etwa LG München I, Urteil vom 11. Februar 2019 – 25 Ns 116 Js 165870/17 –, gegenüber LG Kassel, Beschluss vom 23. September 2019 – 2 Qs 111/19 –). </w:t>
      </w:r>
      <w:r w:rsidR="00A93B01" w:rsidRPr="00B02364">
        <w:t xml:space="preserve">Um nicht den Betroffenen oder Zeuginnen und Zeugen das Risiko aufzuerlegen, ob die Voraussetzungen eines rechtfertigenden Notstands (§ 34 StGB) vorliegen, die das Filmen rechtmäßig machen (vgl. LG Aachen, Beschluss vom 19. August 2020 – 60 Qs 34/20 –, Rn. 29, juris), ist eine gesetzliche Klarstellung erforderlich, da </w:t>
      </w:r>
      <w:r w:rsidR="00A06579" w:rsidRPr="00B02364">
        <w:t xml:space="preserve">das Vorhandenseins </w:t>
      </w:r>
      <w:r w:rsidR="00F84FA3" w:rsidRPr="00B02364">
        <w:t>objektives Beweismaterial</w:t>
      </w:r>
      <w:r w:rsidR="00A06579" w:rsidRPr="00B02364">
        <w:t>s</w:t>
      </w:r>
      <w:r w:rsidR="00F84FA3" w:rsidRPr="00B02364">
        <w:t xml:space="preserve"> für den Fall einer Auseinandersetzung um die Rechtmäßigkeit des polizeilichen Vorgehens aus rechtsstaatlicher Sicht nur zu begrüßen </w:t>
      </w:r>
      <w:r w:rsidR="00A06579" w:rsidRPr="00B02364">
        <w:t>ist</w:t>
      </w:r>
      <w:r w:rsidR="00F84FA3" w:rsidRPr="00B02364">
        <w:t xml:space="preserve">. </w:t>
      </w:r>
      <w:r w:rsidR="00B00FD0" w:rsidRPr="00B02364">
        <w:t xml:space="preserve">Sofern die Normen des Urheberrechts nicht als ausreichend angesehen werden, der unbefugten Veröffentlichung derartiger Aufnahmen entgegenzuwirken, </w:t>
      </w:r>
      <w:r w:rsidR="00B46395" w:rsidRPr="00B02364">
        <w:t>kann auf dieser Ebene eine gesetzliche Einschränkung erfolgen.</w:t>
      </w:r>
    </w:p>
    <w:p w:rsidR="002A7FBC" w:rsidRPr="00B02364" w:rsidRDefault="002A7FBC" w:rsidP="00F84FA3">
      <w:pPr>
        <w:ind w:left="360"/>
        <w:jc w:val="both"/>
      </w:pPr>
      <w:r w:rsidRPr="00B02364">
        <w:t xml:space="preserve">Zu beobachten sind, insbesondere im Zusammenhang mit dem, aber nicht allein beschränkt auf den Bereich von </w:t>
      </w:r>
      <w:r w:rsidRPr="00B02364">
        <w:rPr>
          <w:i/>
        </w:rPr>
        <w:t>racial profiling</w:t>
      </w:r>
      <w:r w:rsidRPr="00B02364">
        <w:t xml:space="preserve">, zudem die Erfahrungen mit der gesetzlichen Etablierung einer </w:t>
      </w:r>
      <w:r w:rsidRPr="00B02364">
        <w:rPr>
          <w:b/>
        </w:rPr>
        <w:t>Beweislastumkehr</w:t>
      </w:r>
      <w:r w:rsidRPr="00B02364">
        <w:t xml:space="preserve"> nach Berliner Vorbild bei Beschwerden gegen polizeiliches Vorgehen. Dieses Instrument bezieht sich nicht auf straf- oder disziplinarrechtliche Maßnahmen gegen konkrete </w:t>
      </w:r>
      <w:r w:rsidR="004A4A37" w:rsidRPr="00B02364">
        <w:t>Polizeibeamtinnen und -beamte</w:t>
      </w:r>
      <w:r w:rsidRPr="00B02364">
        <w:t xml:space="preserve">, sondern auf die institutionelle Verantwortlichkeit der Behörde bzw. des Rechtsträgers. Sie zwingt letzteren dazu, sich mit einschlägigen Vorfällen auseinanderzusetzen, </w:t>
      </w:r>
      <w:r w:rsidR="004774C0" w:rsidRPr="00B02364">
        <w:t xml:space="preserve">könnte </w:t>
      </w:r>
      <w:r w:rsidRPr="00B02364">
        <w:t>damit einen Beitrag zur Etablierung der oben geforderten Fehlerkultur</w:t>
      </w:r>
      <w:r w:rsidR="004774C0" w:rsidRPr="00B02364">
        <w:t xml:space="preserve"> leisten</w:t>
      </w:r>
      <w:r w:rsidRPr="00B02364">
        <w:t>.</w:t>
      </w:r>
    </w:p>
    <w:sectPr w:rsidR="002A7FBC" w:rsidRPr="00B02364" w:rsidSect="008C28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B43" w:rsidRDefault="00CE3B43" w:rsidP="00A376BE">
      <w:pPr>
        <w:spacing w:after="0" w:line="240" w:lineRule="auto"/>
      </w:pPr>
      <w:r>
        <w:separator/>
      </w:r>
    </w:p>
  </w:endnote>
  <w:endnote w:type="continuationSeparator" w:id="0">
    <w:p w:rsidR="00CE3B43" w:rsidRDefault="00CE3B43" w:rsidP="00A3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edium">
    <w:altName w:val="Courier New"/>
    <w:charset w:val="00"/>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138" w:rsidRDefault="000B41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138" w:rsidRDefault="000B41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138" w:rsidRDefault="000B41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B43" w:rsidRDefault="00CE3B43" w:rsidP="00A376BE">
      <w:pPr>
        <w:spacing w:after="0" w:line="240" w:lineRule="auto"/>
      </w:pPr>
      <w:r>
        <w:separator/>
      </w:r>
    </w:p>
  </w:footnote>
  <w:footnote w:type="continuationSeparator" w:id="0">
    <w:p w:rsidR="00CE3B43" w:rsidRDefault="00CE3B43" w:rsidP="00A376BE">
      <w:pPr>
        <w:spacing w:after="0" w:line="240" w:lineRule="auto"/>
      </w:pPr>
      <w:r>
        <w:continuationSeparator/>
      </w:r>
    </w:p>
  </w:footnote>
  <w:footnote w:id="1">
    <w:p w:rsidR="00A376BE" w:rsidRDefault="00A376BE">
      <w:pPr>
        <w:pStyle w:val="Funotentext"/>
      </w:pPr>
      <w:r>
        <w:rPr>
          <w:rStyle w:val="Funotenzeichen"/>
        </w:rPr>
        <w:footnoteRef/>
      </w:r>
      <w:r>
        <w:t xml:space="preserve"> Immer wieder schaffen es in den vergangenen Jahren Beispiele von offenbar rechtswidriger Polizeigewalt und polizeilichem Rassismus in die Medien. Weitere Fälle schildert </w:t>
      </w:r>
      <w:r w:rsidR="00B25362">
        <w:t xml:space="preserve">etwa die </w:t>
      </w:r>
      <w:r>
        <w:t>„Monitor“</w:t>
      </w:r>
      <w:r w:rsidR="00B25362">
        <w:t>-</w:t>
      </w:r>
      <w:r>
        <w:t>Sendung vom 15.11.2018.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138" w:rsidRDefault="000B41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18" w:type="dxa"/>
      <w:tblLayout w:type="fixed"/>
      <w:tblLook w:val="0000" w:firstRow="0" w:lastRow="0" w:firstColumn="0" w:lastColumn="0" w:noHBand="0" w:noVBand="0"/>
    </w:tblPr>
    <w:tblGrid>
      <w:gridCol w:w="2978"/>
      <w:gridCol w:w="7371"/>
    </w:tblGrid>
    <w:tr w:rsidR="000B4138" w:rsidTr="001855AD">
      <w:trPr>
        <w:trHeight w:val="23"/>
      </w:trPr>
      <w:tc>
        <w:tcPr>
          <w:tcW w:w="2978" w:type="dxa"/>
          <w:shd w:val="clear" w:color="auto" w:fill="FFFFFF"/>
        </w:tcPr>
        <w:p w:rsidR="000B4138" w:rsidRDefault="00CE3B43" w:rsidP="001855AD">
          <w:pPr>
            <w:snapToGrid w:val="0"/>
            <w:rPr>
              <w:rFonts w:ascii="Calibri" w:eastAsia="Calibri" w:hAnsi="Calibri" w:cs="Calibri"/>
              <w:sz w:val="26"/>
            </w:rPr>
          </w:pPr>
          <w:r>
            <w:rPr>
              <w:rFonts w:ascii="Garamond" w:eastAsia="Times New Roman" w:hAnsi="Garamond" w:cs="Garamond"/>
              <w:sz w:val="28"/>
              <w:lang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35.7pt;height:63.7pt;z-index:251660288;mso-wrap-distance-left:9.05pt;mso-wrap-distance-right:9.05pt;mso-position-horizontal-relative:margin;mso-position-vertical-relative:line" filled="t">
                <v:fill opacity="0" color2="black"/>
                <v:imagedata r:id="rId1" o:title="" croptop="-47f" cropbottom="-47f" cropleft="-23f" cropright="-23f"/>
                <w10:wrap anchorx="margin"/>
              </v:shape>
              <o:OLEObject Type="Embed" ProgID="StaticMetafile" ShapeID="_x0000_s2050" DrawAspect="Content" ObjectID="_1722707378" r:id="rId2"/>
            </w:object>
          </w:r>
          <w:r w:rsidR="00F1383D">
            <w:rPr>
              <w:rFonts w:ascii="Garamond" w:eastAsia="MS Mincho" w:hAnsi="Garamond" w:cs="Garamond"/>
              <w:noProof/>
              <w:sz w:val="28"/>
            </w:rPr>
            <mc:AlternateContent>
              <mc:Choice Requires="wps">
                <w:drawing>
                  <wp:inline distT="0" distB="0" distL="0" distR="0">
                    <wp:extent cx="1743075" cy="828675"/>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285DB2F1" id="Rectangle 1" o:spid="_x0000_s1026" style="width:137.25pt;height:65.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" filled="f" stroked="f" strokecolor="#3465a4">
                    <v:stroke joinstyle="round"/>
                    <w10:anchorlock/>
                  </v:rect>
                </w:pict>
              </mc:Fallback>
            </mc:AlternateContent>
          </w:r>
        </w:p>
      </w:tc>
      <w:tc>
        <w:tcPr>
          <w:tcW w:w="7371" w:type="dxa"/>
          <w:shd w:val="clear" w:color="auto" w:fill="FFFFFF"/>
        </w:tcPr>
        <w:p w:rsidR="000B4138" w:rsidRDefault="000B4138" w:rsidP="000B4138">
          <w:pPr>
            <w:snapToGrid w:val="0"/>
            <w:spacing w:line="240" w:lineRule="auto"/>
            <w:ind w:right="-794"/>
          </w:pPr>
          <w:r>
            <w:rPr>
              <w:rFonts w:ascii="Calibri" w:eastAsia="Calibri" w:hAnsi="Calibri" w:cs="Calibri"/>
              <w:sz w:val="26"/>
            </w:rPr>
            <w:t>Sozialdemokratische Partei Deutschlands</w:t>
          </w:r>
        </w:p>
        <w:p w:rsidR="000B4138" w:rsidRDefault="000B4138" w:rsidP="000B4138">
          <w:pPr>
            <w:spacing w:line="240" w:lineRule="auto"/>
            <w:ind w:right="-794"/>
          </w:pPr>
          <w:r>
            <w:rPr>
              <w:rFonts w:ascii="Calibri" w:eastAsia="Calibri" w:hAnsi="Calibri" w:cs="Calibri"/>
              <w:sz w:val="26"/>
            </w:rPr>
            <w:t>Landesverband Nordrhein-Westfalen</w:t>
          </w:r>
        </w:p>
        <w:p w:rsidR="000B4138" w:rsidRDefault="000B4138" w:rsidP="000B4138">
          <w:pPr>
            <w:spacing w:line="240" w:lineRule="auto"/>
            <w:ind w:right="-794"/>
          </w:pPr>
          <w:r>
            <w:rPr>
              <w:rFonts w:ascii="Calibri" w:eastAsia="Calibri" w:hAnsi="Calibri" w:cs="Calibri"/>
              <w:b/>
              <w:sz w:val="26"/>
            </w:rPr>
            <w:t>Arbeitsgemeinschaft sozialdemokratischer Juristinnen und Juristen</w:t>
          </w:r>
        </w:p>
      </w:tc>
    </w:tr>
  </w:tbl>
  <w:p w:rsidR="000B4138" w:rsidRPr="000B4138" w:rsidRDefault="00F1383D" w:rsidP="000B4138">
    <w:pPr>
      <w:pStyle w:val="SPD"/>
      <w:tabs>
        <w:tab w:val="left" w:pos="8931"/>
      </w:tabs>
      <w:ind w:left="0"/>
      <w:rPr>
        <w:rFonts w:ascii="Univers (W1)" w:hAnsi="Univers (W1)" w:cs="Univers (W1)"/>
        <w:b w:val="0"/>
        <w:sz w:val="21"/>
        <w:szCs w:val="21"/>
      </w:rPr>
    </w:pPr>
    <w:r>
      <w:rPr>
        <w:noProof/>
      </w:rPr>
      <mc:AlternateContent>
        <mc:Choice Requires="wps">
          <w:drawing>
            <wp:anchor distT="0" distB="0" distL="114935" distR="114935" simplePos="0" relativeHeight="251661312" behindDoc="0" locked="0" layoutInCell="1" allowOverlap="1">
              <wp:simplePos x="0" y="0"/>
              <wp:positionH relativeFrom="column">
                <wp:posOffset>5271135</wp:posOffset>
              </wp:positionH>
              <wp:positionV relativeFrom="paragraph">
                <wp:posOffset>29210</wp:posOffset>
              </wp:positionV>
              <wp:extent cx="770890" cy="3517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51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138" w:rsidRDefault="000B4138" w:rsidP="000B4138">
                          <w:pPr>
                            <w:tabs>
                              <w:tab w:val="left" w:pos="0"/>
                            </w:tabs>
                            <w:rPr>
                              <w:b/>
                              <w:color w:val="999999"/>
                              <w:sz w:val="17"/>
                              <w:szCs w:val="17"/>
                            </w:rPr>
                          </w:pPr>
                        </w:p>
                      </w:txbxContent>
                    </wps:txbx>
                    <wps:bodyPr rot="0" vert="horz" wrap="square" lIns="13970" tIns="13970" rIns="13970" bIns="139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5.05pt;margin-top:2.3pt;width:60.7pt;height:27.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" stroked="f">
              <v:fill opacity="0"/>
              <v:textbox inset="1.1pt,1.1pt,1.1pt,1.1pt">
                <w:txbxContent>
                  <w:p w:rsidR="000B4138" w:rsidRDefault="000B4138" w:rsidP="000B4138">
                    <w:pPr>
                      <w:tabs>
                        <w:tab w:val="left" w:pos="0"/>
                      </w:tabs>
                      <w:rPr>
                        <w:b/>
                        <w:color w:val="999999"/>
                        <w:sz w:val="17"/>
                        <w:szCs w:val="17"/>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138" w:rsidRDefault="000B41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33CE6"/>
    <w:multiLevelType w:val="hybridMultilevel"/>
    <w:tmpl w:val="A0A098B4"/>
    <w:lvl w:ilvl="0" w:tplc="6EBEECB4">
      <w:start w:val="1"/>
      <w:numFmt w:val="decimal"/>
      <w:lvlText w:val="%1."/>
      <w:lvlJc w:val="left"/>
      <w:pPr>
        <w:ind w:left="720" w:hanging="360"/>
      </w:pPr>
      <w:rPr>
        <w:b w:val="0"/>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E0221D"/>
    <w:multiLevelType w:val="hybridMultilevel"/>
    <w:tmpl w:val="EF005202"/>
    <w:lvl w:ilvl="0" w:tplc="A37EB0A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645D7D"/>
    <w:multiLevelType w:val="hybridMultilevel"/>
    <w:tmpl w:val="42DC472E"/>
    <w:lvl w:ilvl="0" w:tplc="39E208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7A"/>
    <w:rsid w:val="0001688D"/>
    <w:rsid w:val="00020E09"/>
    <w:rsid w:val="00051352"/>
    <w:rsid w:val="00057E5B"/>
    <w:rsid w:val="00080F93"/>
    <w:rsid w:val="00086107"/>
    <w:rsid w:val="000B4138"/>
    <w:rsid w:val="000C38B7"/>
    <w:rsid w:val="000C659D"/>
    <w:rsid w:val="000E4FB5"/>
    <w:rsid w:val="001011C0"/>
    <w:rsid w:val="00110F7B"/>
    <w:rsid w:val="00113B8C"/>
    <w:rsid w:val="00144849"/>
    <w:rsid w:val="00146475"/>
    <w:rsid w:val="001A3B23"/>
    <w:rsid w:val="001A5FCC"/>
    <w:rsid w:val="001C7582"/>
    <w:rsid w:val="001E2FF0"/>
    <w:rsid w:val="00225233"/>
    <w:rsid w:val="002447FC"/>
    <w:rsid w:val="0025786F"/>
    <w:rsid w:val="00260824"/>
    <w:rsid w:val="00274F56"/>
    <w:rsid w:val="00280D2D"/>
    <w:rsid w:val="00290AD9"/>
    <w:rsid w:val="002A2238"/>
    <w:rsid w:val="002A7FBC"/>
    <w:rsid w:val="002D33C2"/>
    <w:rsid w:val="00337452"/>
    <w:rsid w:val="00343C44"/>
    <w:rsid w:val="00344984"/>
    <w:rsid w:val="0035276D"/>
    <w:rsid w:val="00355F4D"/>
    <w:rsid w:val="00360302"/>
    <w:rsid w:val="00371C94"/>
    <w:rsid w:val="00386611"/>
    <w:rsid w:val="003C7584"/>
    <w:rsid w:val="003E20AD"/>
    <w:rsid w:val="00402C8B"/>
    <w:rsid w:val="00433534"/>
    <w:rsid w:val="0044654A"/>
    <w:rsid w:val="00450C61"/>
    <w:rsid w:val="004643B3"/>
    <w:rsid w:val="004774C0"/>
    <w:rsid w:val="0049087A"/>
    <w:rsid w:val="004A4A37"/>
    <w:rsid w:val="004B471F"/>
    <w:rsid w:val="004C0A76"/>
    <w:rsid w:val="004D2F50"/>
    <w:rsid w:val="004D4ADD"/>
    <w:rsid w:val="004D5542"/>
    <w:rsid w:val="004E271D"/>
    <w:rsid w:val="004E3389"/>
    <w:rsid w:val="0052333F"/>
    <w:rsid w:val="00533684"/>
    <w:rsid w:val="005466F8"/>
    <w:rsid w:val="0055300A"/>
    <w:rsid w:val="005B020A"/>
    <w:rsid w:val="005C0B11"/>
    <w:rsid w:val="005D25E6"/>
    <w:rsid w:val="005E69CE"/>
    <w:rsid w:val="005F3AB2"/>
    <w:rsid w:val="00604D02"/>
    <w:rsid w:val="00634E94"/>
    <w:rsid w:val="00641C08"/>
    <w:rsid w:val="006428C6"/>
    <w:rsid w:val="006451A9"/>
    <w:rsid w:val="006722B5"/>
    <w:rsid w:val="006743DB"/>
    <w:rsid w:val="006B4F83"/>
    <w:rsid w:val="006E335B"/>
    <w:rsid w:val="006E52D3"/>
    <w:rsid w:val="0071607B"/>
    <w:rsid w:val="00771738"/>
    <w:rsid w:val="00785B17"/>
    <w:rsid w:val="007A2FBA"/>
    <w:rsid w:val="007A6064"/>
    <w:rsid w:val="007B18E4"/>
    <w:rsid w:val="007B2001"/>
    <w:rsid w:val="007D350D"/>
    <w:rsid w:val="00811EF7"/>
    <w:rsid w:val="00813DE1"/>
    <w:rsid w:val="00817953"/>
    <w:rsid w:val="008220A1"/>
    <w:rsid w:val="00827FEF"/>
    <w:rsid w:val="008408CF"/>
    <w:rsid w:val="00843AD8"/>
    <w:rsid w:val="00857A88"/>
    <w:rsid w:val="00865B9C"/>
    <w:rsid w:val="00867387"/>
    <w:rsid w:val="0088597F"/>
    <w:rsid w:val="00887569"/>
    <w:rsid w:val="008B2B86"/>
    <w:rsid w:val="008C0B92"/>
    <w:rsid w:val="008C2824"/>
    <w:rsid w:val="008D6BD1"/>
    <w:rsid w:val="008E45B0"/>
    <w:rsid w:val="009066F9"/>
    <w:rsid w:val="009224BA"/>
    <w:rsid w:val="00922C9C"/>
    <w:rsid w:val="00932AC8"/>
    <w:rsid w:val="009465F9"/>
    <w:rsid w:val="009A7BBF"/>
    <w:rsid w:val="009D0460"/>
    <w:rsid w:val="009D68C6"/>
    <w:rsid w:val="009E0B6F"/>
    <w:rsid w:val="00A03545"/>
    <w:rsid w:val="00A06579"/>
    <w:rsid w:val="00A20F11"/>
    <w:rsid w:val="00A33382"/>
    <w:rsid w:val="00A376BE"/>
    <w:rsid w:val="00A70496"/>
    <w:rsid w:val="00A93081"/>
    <w:rsid w:val="00A930BF"/>
    <w:rsid w:val="00A93B01"/>
    <w:rsid w:val="00A96144"/>
    <w:rsid w:val="00AB71AD"/>
    <w:rsid w:val="00AD0BF8"/>
    <w:rsid w:val="00AD61DD"/>
    <w:rsid w:val="00AD6878"/>
    <w:rsid w:val="00AE5656"/>
    <w:rsid w:val="00AE6C27"/>
    <w:rsid w:val="00AE6E77"/>
    <w:rsid w:val="00AF6D5D"/>
    <w:rsid w:val="00B00D4E"/>
    <w:rsid w:val="00B00FD0"/>
    <w:rsid w:val="00B02364"/>
    <w:rsid w:val="00B1662F"/>
    <w:rsid w:val="00B2003E"/>
    <w:rsid w:val="00B25362"/>
    <w:rsid w:val="00B25E12"/>
    <w:rsid w:val="00B33383"/>
    <w:rsid w:val="00B35D0D"/>
    <w:rsid w:val="00B46395"/>
    <w:rsid w:val="00B83474"/>
    <w:rsid w:val="00BA3A0E"/>
    <w:rsid w:val="00BE3038"/>
    <w:rsid w:val="00BE585A"/>
    <w:rsid w:val="00C0776B"/>
    <w:rsid w:val="00C20432"/>
    <w:rsid w:val="00C37058"/>
    <w:rsid w:val="00C421CE"/>
    <w:rsid w:val="00C43802"/>
    <w:rsid w:val="00C50D30"/>
    <w:rsid w:val="00C57665"/>
    <w:rsid w:val="00C82E54"/>
    <w:rsid w:val="00C919BF"/>
    <w:rsid w:val="00CA5106"/>
    <w:rsid w:val="00CB1150"/>
    <w:rsid w:val="00CB4DAF"/>
    <w:rsid w:val="00CC49D7"/>
    <w:rsid w:val="00CC7767"/>
    <w:rsid w:val="00CC78A8"/>
    <w:rsid w:val="00CE3B43"/>
    <w:rsid w:val="00CE75ED"/>
    <w:rsid w:val="00CF6CC6"/>
    <w:rsid w:val="00CF7535"/>
    <w:rsid w:val="00D07566"/>
    <w:rsid w:val="00D10A3B"/>
    <w:rsid w:val="00D3478C"/>
    <w:rsid w:val="00D34FEE"/>
    <w:rsid w:val="00D36C54"/>
    <w:rsid w:val="00D53BA4"/>
    <w:rsid w:val="00D6039A"/>
    <w:rsid w:val="00D6075B"/>
    <w:rsid w:val="00D71FB2"/>
    <w:rsid w:val="00D75852"/>
    <w:rsid w:val="00D76ADE"/>
    <w:rsid w:val="00D85B95"/>
    <w:rsid w:val="00DA37B1"/>
    <w:rsid w:val="00DB0DC0"/>
    <w:rsid w:val="00DC3EF1"/>
    <w:rsid w:val="00DC7C5B"/>
    <w:rsid w:val="00DC7FEB"/>
    <w:rsid w:val="00DE01DF"/>
    <w:rsid w:val="00E02E68"/>
    <w:rsid w:val="00E10B01"/>
    <w:rsid w:val="00E15769"/>
    <w:rsid w:val="00E2366B"/>
    <w:rsid w:val="00E26A71"/>
    <w:rsid w:val="00E63582"/>
    <w:rsid w:val="00E73207"/>
    <w:rsid w:val="00E752D1"/>
    <w:rsid w:val="00E84169"/>
    <w:rsid w:val="00E87CE7"/>
    <w:rsid w:val="00EA1784"/>
    <w:rsid w:val="00EB2E7A"/>
    <w:rsid w:val="00EB4700"/>
    <w:rsid w:val="00ED3749"/>
    <w:rsid w:val="00ED59E2"/>
    <w:rsid w:val="00EE1F16"/>
    <w:rsid w:val="00EE557F"/>
    <w:rsid w:val="00EF251A"/>
    <w:rsid w:val="00EF25A4"/>
    <w:rsid w:val="00EF3E8E"/>
    <w:rsid w:val="00F1383D"/>
    <w:rsid w:val="00F23840"/>
    <w:rsid w:val="00F341A5"/>
    <w:rsid w:val="00F348B7"/>
    <w:rsid w:val="00F37A99"/>
    <w:rsid w:val="00F40E96"/>
    <w:rsid w:val="00F54607"/>
    <w:rsid w:val="00F7494E"/>
    <w:rsid w:val="00F84FA3"/>
    <w:rsid w:val="00F8782A"/>
    <w:rsid w:val="00F934FA"/>
    <w:rsid w:val="00F946B4"/>
    <w:rsid w:val="00FD7960"/>
    <w:rsid w:val="00FE5E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291D7E"/>
  <w15:docId w15:val="{0205F373-491C-4310-951F-40EF817E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53BA4"/>
  </w:style>
  <w:style w:type="paragraph" w:styleId="berschrift1">
    <w:name w:val="heading 1"/>
    <w:basedOn w:val="Standard"/>
    <w:link w:val="berschrift1Zchn"/>
    <w:uiPriority w:val="9"/>
    <w:qFormat/>
    <w:rsid w:val="00CB4D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2E7A"/>
    <w:pPr>
      <w:ind w:left="720"/>
      <w:contextualSpacing/>
    </w:pPr>
  </w:style>
  <w:style w:type="character" w:styleId="Kommentarzeichen">
    <w:name w:val="annotation reference"/>
    <w:basedOn w:val="Absatz-Standardschriftart"/>
    <w:uiPriority w:val="99"/>
    <w:semiHidden/>
    <w:unhideWhenUsed/>
    <w:rsid w:val="007A2FBA"/>
    <w:rPr>
      <w:sz w:val="16"/>
      <w:szCs w:val="16"/>
    </w:rPr>
  </w:style>
  <w:style w:type="paragraph" w:styleId="Kommentartext">
    <w:name w:val="annotation text"/>
    <w:basedOn w:val="Standard"/>
    <w:link w:val="KommentartextZchn"/>
    <w:uiPriority w:val="99"/>
    <w:semiHidden/>
    <w:unhideWhenUsed/>
    <w:rsid w:val="007A2F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2FBA"/>
    <w:rPr>
      <w:sz w:val="20"/>
      <w:szCs w:val="20"/>
    </w:rPr>
  </w:style>
  <w:style w:type="paragraph" w:styleId="Kommentarthema">
    <w:name w:val="annotation subject"/>
    <w:basedOn w:val="Kommentartext"/>
    <w:next w:val="Kommentartext"/>
    <w:link w:val="KommentarthemaZchn"/>
    <w:uiPriority w:val="99"/>
    <w:semiHidden/>
    <w:unhideWhenUsed/>
    <w:rsid w:val="007A2FBA"/>
    <w:rPr>
      <w:b/>
      <w:bCs/>
    </w:rPr>
  </w:style>
  <w:style w:type="character" w:customStyle="1" w:styleId="KommentarthemaZchn">
    <w:name w:val="Kommentarthema Zchn"/>
    <w:basedOn w:val="KommentartextZchn"/>
    <w:link w:val="Kommentarthema"/>
    <w:uiPriority w:val="99"/>
    <w:semiHidden/>
    <w:rsid w:val="007A2FBA"/>
    <w:rPr>
      <w:b/>
      <w:bCs/>
      <w:sz w:val="20"/>
      <w:szCs w:val="20"/>
    </w:rPr>
  </w:style>
  <w:style w:type="paragraph" w:styleId="Sprechblasentext">
    <w:name w:val="Balloon Text"/>
    <w:basedOn w:val="Standard"/>
    <w:link w:val="SprechblasentextZchn"/>
    <w:uiPriority w:val="99"/>
    <w:semiHidden/>
    <w:unhideWhenUsed/>
    <w:rsid w:val="007A2F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2FBA"/>
    <w:rPr>
      <w:rFonts w:ascii="Tahoma" w:hAnsi="Tahoma" w:cs="Tahoma"/>
      <w:sz w:val="16"/>
      <w:szCs w:val="16"/>
    </w:rPr>
  </w:style>
  <w:style w:type="character" w:customStyle="1" w:styleId="berschrift1Zchn">
    <w:name w:val="Überschrift 1 Zchn"/>
    <w:basedOn w:val="Absatz-Standardschriftart"/>
    <w:link w:val="berschrift1"/>
    <w:uiPriority w:val="9"/>
    <w:rsid w:val="00CB4DAF"/>
    <w:rPr>
      <w:rFonts w:ascii="Times New Roman" w:eastAsia="Times New Roman" w:hAnsi="Times New Roman" w:cs="Times New Roman"/>
      <w:b/>
      <w:bCs/>
      <w:kern w:val="36"/>
      <w:sz w:val="48"/>
      <w:szCs w:val="48"/>
      <w:lang w:eastAsia="de-DE"/>
    </w:rPr>
  </w:style>
  <w:style w:type="character" w:customStyle="1" w:styleId="lemmamain">
    <w:name w:val="lemma__main"/>
    <w:basedOn w:val="Absatz-Standardschriftart"/>
    <w:rsid w:val="00CB4DAF"/>
  </w:style>
  <w:style w:type="paragraph" w:styleId="Funotentext">
    <w:name w:val="footnote text"/>
    <w:basedOn w:val="Standard"/>
    <w:link w:val="FunotentextZchn"/>
    <w:uiPriority w:val="99"/>
    <w:semiHidden/>
    <w:unhideWhenUsed/>
    <w:rsid w:val="00A376B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76BE"/>
    <w:rPr>
      <w:sz w:val="20"/>
      <w:szCs w:val="20"/>
    </w:rPr>
  </w:style>
  <w:style w:type="character" w:styleId="Funotenzeichen">
    <w:name w:val="footnote reference"/>
    <w:basedOn w:val="Absatz-Standardschriftart"/>
    <w:uiPriority w:val="99"/>
    <w:semiHidden/>
    <w:unhideWhenUsed/>
    <w:rsid w:val="00A376BE"/>
    <w:rPr>
      <w:vertAlign w:val="superscript"/>
    </w:rPr>
  </w:style>
  <w:style w:type="character" w:styleId="Zeilennummer">
    <w:name w:val="line number"/>
    <w:basedOn w:val="Absatz-Standardschriftart"/>
    <w:uiPriority w:val="99"/>
    <w:semiHidden/>
    <w:unhideWhenUsed/>
    <w:rsid w:val="008C2824"/>
  </w:style>
  <w:style w:type="paragraph" w:styleId="Kopfzeile">
    <w:name w:val="header"/>
    <w:basedOn w:val="Standard"/>
    <w:link w:val="KopfzeileZchn"/>
    <w:uiPriority w:val="99"/>
    <w:semiHidden/>
    <w:unhideWhenUsed/>
    <w:rsid w:val="000B41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B4138"/>
  </w:style>
  <w:style w:type="paragraph" w:styleId="Fuzeile">
    <w:name w:val="footer"/>
    <w:basedOn w:val="Standard"/>
    <w:link w:val="FuzeileZchn"/>
    <w:uiPriority w:val="99"/>
    <w:semiHidden/>
    <w:unhideWhenUsed/>
    <w:rsid w:val="000B413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B4138"/>
  </w:style>
  <w:style w:type="paragraph" w:customStyle="1" w:styleId="SPD">
    <w:name w:val="SPD"/>
    <w:rsid w:val="000B4138"/>
    <w:pPr>
      <w:suppressAutoHyphens/>
      <w:overflowPunct w:val="0"/>
      <w:autoSpaceDE w:val="0"/>
      <w:spacing w:after="0" w:line="240" w:lineRule="atLeast"/>
      <w:ind w:left="907" w:right="964"/>
      <w:textAlignment w:val="baseline"/>
    </w:pPr>
    <w:rPr>
      <w:rFonts w:ascii="Futura Medium" w:eastAsia="Arial" w:hAnsi="Futura Medium" w:cs="Futura Medium"/>
      <w:b/>
      <w:sz w:val="26"/>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274076">
      <w:bodyDiv w:val="1"/>
      <w:marLeft w:val="0"/>
      <w:marRight w:val="0"/>
      <w:marTop w:val="0"/>
      <w:marBottom w:val="0"/>
      <w:divBdr>
        <w:top w:val="none" w:sz="0" w:space="0" w:color="auto"/>
        <w:left w:val="none" w:sz="0" w:space="0" w:color="auto"/>
        <w:bottom w:val="none" w:sz="0" w:space="0" w:color="auto"/>
        <w:right w:val="none" w:sz="0" w:space="0" w:color="auto"/>
      </w:divBdr>
    </w:div>
    <w:div w:id="1563560813">
      <w:bodyDiv w:val="1"/>
      <w:marLeft w:val="0"/>
      <w:marRight w:val="0"/>
      <w:marTop w:val="0"/>
      <w:marBottom w:val="0"/>
      <w:divBdr>
        <w:top w:val="none" w:sz="0" w:space="0" w:color="auto"/>
        <w:left w:val="none" w:sz="0" w:space="0" w:color="auto"/>
        <w:bottom w:val="none" w:sz="0" w:space="0" w:color="auto"/>
        <w:right w:val="none" w:sz="0" w:space="0" w:color="auto"/>
      </w:divBdr>
    </w:div>
    <w:div w:id="1987053547">
      <w:bodyDiv w:val="1"/>
      <w:marLeft w:val="0"/>
      <w:marRight w:val="0"/>
      <w:marTop w:val="0"/>
      <w:marBottom w:val="0"/>
      <w:divBdr>
        <w:top w:val="none" w:sz="0" w:space="0" w:color="auto"/>
        <w:left w:val="none" w:sz="0" w:space="0" w:color="auto"/>
        <w:bottom w:val="none" w:sz="0" w:space="0" w:color="auto"/>
        <w:right w:val="none" w:sz="0" w:space="0" w:color="auto"/>
      </w:divBdr>
      <w:divsChild>
        <w:div w:id="367486750">
          <w:marLeft w:val="0"/>
          <w:marRight w:val="0"/>
          <w:marTop w:val="0"/>
          <w:marBottom w:val="0"/>
          <w:divBdr>
            <w:top w:val="none" w:sz="0" w:space="0" w:color="auto"/>
            <w:left w:val="none" w:sz="0" w:space="0" w:color="auto"/>
            <w:bottom w:val="none" w:sz="0" w:space="0" w:color="auto"/>
            <w:right w:val="none" w:sz="0" w:space="0" w:color="auto"/>
          </w:divBdr>
        </w:div>
        <w:div w:id="65302152">
          <w:marLeft w:val="0"/>
          <w:marRight w:val="0"/>
          <w:marTop w:val="0"/>
          <w:marBottom w:val="0"/>
          <w:divBdr>
            <w:top w:val="none" w:sz="0" w:space="0" w:color="auto"/>
            <w:left w:val="none" w:sz="0" w:space="0" w:color="auto"/>
            <w:bottom w:val="none" w:sz="0" w:space="0" w:color="auto"/>
            <w:right w:val="none" w:sz="0" w:space="0" w:color="auto"/>
          </w:divBdr>
        </w:div>
        <w:div w:id="215749012">
          <w:marLeft w:val="0"/>
          <w:marRight w:val="0"/>
          <w:marTop w:val="0"/>
          <w:marBottom w:val="0"/>
          <w:divBdr>
            <w:top w:val="none" w:sz="0" w:space="0" w:color="auto"/>
            <w:left w:val="none" w:sz="0" w:space="0" w:color="auto"/>
            <w:bottom w:val="none" w:sz="0" w:space="0" w:color="auto"/>
            <w:right w:val="none" w:sz="0" w:space="0" w:color="auto"/>
          </w:divBdr>
        </w:div>
        <w:div w:id="1930651347">
          <w:marLeft w:val="0"/>
          <w:marRight w:val="0"/>
          <w:marTop w:val="0"/>
          <w:marBottom w:val="0"/>
          <w:divBdr>
            <w:top w:val="none" w:sz="0" w:space="0" w:color="auto"/>
            <w:left w:val="none" w:sz="0" w:space="0" w:color="auto"/>
            <w:bottom w:val="none" w:sz="0" w:space="0" w:color="auto"/>
            <w:right w:val="none" w:sz="0" w:space="0" w:color="auto"/>
          </w:divBdr>
        </w:div>
        <w:div w:id="1146819357">
          <w:marLeft w:val="0"/>
          <w:marRight w:val="0"/>
          <w:marTop w:val="0"/>
          <w:marBottom w:val="0"/>
          <w:divBdr>
            <w:top w:val="none" w:sz="0" w:space="0" w:color="auto"/>
            <w:left w:val="none" w:sz="0" w:space="0" w:color="auto"/>
            <w:bottom w:val="none" w:sz="0" w:space="0" w:color="auto"/>
            <w:right w:val="none" w:sz="0" w:space="0" w:color="auto"/>
          </w:divBdr>
        </w:div>
        <w:div w:id="1234007014">
          <w:marLeft w:val="0"/>
          <w:marRight w:val="0"/>
          <w:marTop w:val="0"/>
          <w:marBottom w:val="0"/>
          <w:divBdr>
            <w:top w:val="none" w:sz="0" w:space="0" w:color="auto"/>
            <w:left w:val="none" w:sz="0" w:space="0" w:color="auto"/>
            <w:bottom w:val="none" w:sz="0" w:space="0" w:color="auto"/>
            <w:right w:val="none" w:sz="0" w:space="0" w:color="auto"/>
          </w:divBdr>
        </w:div>
        <w:div w:id="1761178288">
          <w:marLeft w:val="0"/>
          <w:marRight w:val="0"/>
          <w:marTop w:val="0"/>
          <w:marBottom w:val="0"/>
          <w:divBdr>
            <w:top w:val="none" w:sz="0" w:space="0" w:color="auto"/>
            <w:left w:val="none" w:sz="0" w:space="0" w:color="auto"/>
            <w:bottom w:val="none" w:sz="0" w:space="0" w:color="auto"/>
            <w:right w:val="none" w:sz="0" w:space="0" w:color="auto"/>
          </w:divBdr>
        </w:div>
      </w:divsChild>
    </w:div>
    <w:div w:id="20730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5529C-5FCB-4E44-A2A7-F86C5720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11376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Thorben Kösters</dc:creator>
  <cp:lastModifiedBy>Folke</cp:lastModifiedBy>
  <cp:revision>2</cp:revision>
  <dcterms:created xsi:type="dcterms:W3CDTF">2022-08-22T19:03:00Z</dcterms:created>
  <dcterms:modified xsi:type="dcterms:W3CDTF">2022-08-22T19:03:00Z</dcterms:modified>
</cp:coreProperties>
</file>