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2CC" w:rsidRDefault="0060754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Kurzfassung und Aktualisierung des Beschlusses des ASJ-Bundesaus</w:t>
      </w:r>
      <w:r>
        <w:rPr>
          <w:b/>
          <w:bCs/>
          <w:sz w:val="32"/>
          <w:szCs w:val="32"/>
        </w:rPr>
        <w:softHyphen/>
        <w:t>schusses vom 11. September 2022</w:t>
      </w:r>
    </w:p>
    <w:p w:rsidR="00C972CC" w:rsidRDefault="006075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„Ratifizierung von CETA nur mit rechtssicheren und dauerhaft wirk</w:t>
      </w:r>
      <w:r>
        <w:rPr>
          <w:b/>
          <w:bCs/>
          <w:sz w:val="32"/>
          <w:szCs w:val="32"/>
        </w:rPr>
        <w:softHyphen/>
        <w:t>samen Instrumenten und ohne Zeitdruck“</w:t>
      </w:r>
    </w:p>
    <w:p w:rsidR="00C972CC" w:rsidRDefault="00C972CC">
      <w:pPr>
        <w:jc w:val="center"/>
        <w:rPr>
          <w:b/>
          <w:bCs/>
          <w:sz w:val="32"/>
          <w:szCs w:val="32"/>
        </w:rPr>
      </w:pPr>
    </w:p>
    <w:p w:rsidR="00C972CC" w:rsidRDefault="0060754D">
      <w:pPr>
        <w:rPr>
          <w:i/>
          <w:iCs/>
        </w:rPr>
      </w:pPr>
      <w:r>
        <w:rPr>
          <w:i/>
          <w:iCs/>
        </w:rPr>
        <w:t xml:space="preserve">Der Bundesausschuss der ASJ hat auf seiner Sitzung am 11. September den o. a. Beschluss gefasst. Wegen </w:t>
      </w:r>
      <w:r>
        <w:rPr>
          <w:i/>
          <w:iCs/>
        </w:rPr>
        <w:t>der hohen Komplexität des Textes</w:t>
      </w:r>
      <w:r>
        <w:rPr>
          <w:i/>
          <w:iCs/>
        </w:rPr>
        <w:t xml:space="preserve"> hat er beschlossen, eine knappe Darstellung des Antragstellers beizufügen. Diese gibt nunmehr die Kernanliegen des Antra</w:t>
      </w:r>
      <w:r>
        <w:rPr>
          <w:i/>
          <w:iCs/>
        </w:rPr>
        <w:t xml:space="preserve">gs </w:t>
      </w:r>
      <w:r>
        <w:rPr>
          <w:i/>
          <w:iCs/>
        </w:rPr>
        <w:t>wieder</w:t>
      </w:r>
      <w:r>
        <w:rPr>
          <w:i/>
          <w:iCs/>
        </w:rPr>
        <w:t xml:space="preserve"> und berücksichtigt mit dem am 10. 9. bekannt gewordenen geleakten Entwurf der Interpretationserklärung des Gemischten CETA-Ausschusses auch die aktuelle Entwicklung:</w:t>
      </w:r>
    </w:p>
    <w:p w:rsidR="00C972CC" w:rsidRDefault="00C972CC"/>
    <w:p w:rsidR="00C972CC" w:rsidRDefault="0060754D">
      <w:r>
        <w:t xml:space="preserve">Der im Bundestag begonnene </w:t>
      </w:r>
      <w:r>
        <w:rPr>
          <w:u w:val="single"/>
        </w:rPr>
        <w:t>CETA-R</w:t>
      </w:r>
      <w:r>
        <w:rPr>
          <w:u w:val="single"/>
        </w:rPr>
        <w:t>atifizierungsprozess</w:t>
      </w:r>
      <w:r>
        <w:t xml:space="preserve"> muss </w:t>
      </w:r>
      <w:r>
        <w:rPr>
          <w:u w:val="single"/>
        </w:rPr>
        <w:t xml:space="preserve">ausgesetzt </w:t>
      </w:r>
      <w:r>
        <w:t xml:space="preserve">werden. </w:t>
      </w:r>
    </w:p>
    <w:p w:rsidR="00C972CC" w:rsidRDefault="00C972CC"/>
    <w:p w:rsidR="00C972CC" w:rsidRDefault="0060754D">
      <w:r>
        <w:t xml:space="preserve">Der im </w:t>
      </w:r>
      <w:r>
        <w:rPr>
          <w:u w:val="single"/>
        </w:rPr>
        <w:t>Koalitionsvertrag</w:t>
      </w:r>
      <w:r>
        <w:t xml:space="preserve"> enthaltende </w:t>
      </w:r>
      <w:r>
        <w:rPr>
          <w:u w:val="single"/>
        </w:rPr>
        <w:t>Änderungsbedarf</w:t>
      </w:r>
      <w:r>
        <w:t xml:space="preserve"> zum </w:t>
      </w:r>
      <w:r>
        <w:rPr>
          <w:u w:val="single"/>
        </w:rPr>
        <w:t>Investitionsschutz</w:t>
      </w:r>
      <w:r>
        <w:t xml:space="preserve"> wird </w:t>
      </w:r>
      <w:r>
        <w:t>,in der Regierungsvorlage zum CETA-RAt</w:t>
      </w:r>
      <w:r>
        <w:t>ifizierungsgesetzes</w:t>
      </w:r>
      <w:r>
        <w:t xml:space="preserve"> sowohl vom Inhalt als auch von der Wahl des Instrumentes her </w:t>
      </w:r>
      <w:r>
        <w:rPr>
          <w:u w:val="single"/>
        </w:rPr>
        <w:t>nich</w:t>
      </w:r>
      <w:r>
        <w:rPr>
          <w:u w:val="single"/>
        </w:rPr>
        <w:t>t umgesetzt</w:t>
      </w:r>
      <w:r>
        <w:t xml:space="preserve">. </w:t>
      </w:r>
    </w:p>
    <w:p w:rsidR="00C972CC" w:rsidRDefault="00C972CC"/>
    <w:p w:rsidR="00C972CC" w:rsidRDefault="0060754D">
      <w:r>
        <w:t xml:space="preserve">Es besteht </w:t>
      </w:r>
      <w:r>
        <w:rPr>
          <w:u w:val="single"/>
        </w:rPr>
        <w:t>kein objektiver Zeitdruck</w:t>
      </w:r>
      <w:r>
        <w:t>, da das übrige Handelsabkommen bereits vorläufig in Kraft ist. So ist die Zeit vorhanden, den Änderungsbedarf von CETA in einer voll wirksamen Form auszuhan</w:t>
      </w:r>
      <w:r>
        <w:softHyphen/>
        <w:t xml:space="preserve">deln. Dazu muss der </w:t>
      </w:r>
      <w:r>
        <w:rPr>
          <w:u w:val="single"/>
        </w:rPr>
        <w:t>Vertrag geändert werden</w:t>
      </w:r>
      <w:r>
        <w:t>.</w:t>
      </w:r>
    </w:p>
    <w:p w:rsidR="00C972CC" w:rsidRDefault="00C972CC"/>
    <w:p w:rsidR="00C972CC" w:rsidRDefault="0060754D">
      <w:r>
        <w:t>D</w:t>
      </w:r>
      <w:r>
        <w:t xml:space="preserve">ie </w:t>
      </w:r>
      <w:r>
        <w:t xml:space="preserve">derzeit </w:t>
      </w:r>
      <w:r>
        <w:t xml:space="preserve">vorgesehene </w:t>
      </w:r>
      <w:r>
        <w:rPr>
          <w:u w:val="single"/>
        </w:rPr>
        <w:t xml:space="preserve">gemeinsame Interpretationserklärung </w:t>
      </w:r>
      <w:r>
        <w:t>zwischen den Vertragspartnern, die der Ge</w:t>
      </w:r>
      <w:r>
        <w:softHyphen/>
        <w:t xml:space="preserve">mischte CETA-Ausschuss verabschieden soll, ist zwar für die Investitionsgerichte verbindlich, </w:t>
      </w:r>
      <w:r>
        <w:t>steht abe</w:t>
      </w:r>
      <w:r>
        <w:t>r im Rang unterhalb des Vertragstextes</w:t>
      </w:r>
      <w:r>
        <w:t xml:space="preserve">. Der </w:t>
      </w:r>
      <w:r>
        <w:rPr>
          <w:u w:val="single"/>
        </w:rPr>
        <w:t>Änderungsbedarf aus dem Koalitionsvertrag</w:t>
      </w:r>
      <w:r>
        <w:t xml:space="preserve"> lässt sich mit einer Interpretationserklärung </w:t>
      </w:r>
      <w:r>
        <w:rPr>
          <w:u w:val="single"/>
        </w:rPr>
        <w:t>nicht realisieren</w:t>
      </w:r>
      <w:r>
        <w:t xml:space="preserve">. </w:t>
      </w:r>
    </w:p>
    <w:p w:rsidR="00C972CC" w:rsidRDefault="00C972CC"/>
    <w:p w:rsidR="00C972CC" w:rsidRDefault="0060754D">
      <w:r>
        <w:t>Der in der Vorlage der Bundesregierung</w:t>
      </w:r>
      <w:r>
        <w:t xml:space="preserve"> zum </w:t>
      </w:r>
      <w:r>
        <w:rPr>
          <w:u w:val="single"/>
        </w:rPr>
        <w:t>CETA-Ratifizierungsgesetz</w:t>
      </w:r>
      <w:r>
        <w:t xml:space="preserve"> formulierte Änderungsbedarf stellt denn auch im Hinblick auf den Investitionsschutz eine </w:t>
      </w:r>
      <w:r>
        <w:rPr>
          <w:u w:val="single"/>
        </w:rPr>
        <w:t>deutliche Abschwächung</w:t>
      </w:r>
      <w:r>
        <w:t xml:space="preserve"> gegenüber dem Koalitionsvertrag dar.</w:t>
      </w:r>
    </w:p>
    <w:p w:rsidR="00C972CC" w:rsidRDefault="00C972CC"/>
    <w:p w:rsidR="00C972CC" w:rsidRDefault="0060754D">
      <w:r>
        <w:t xml:space="preserve">Das </w:t>
      </w:r>
      <w:r>
        <w:rPr>
          <w:u w:val="single"/>
        </w:rPr>
        <w:t>internationale Investitionsschutzrecht ist dynamisch</w:t>
      </w:r>
      <w:r>
        <w:t xml:space="preserve">. Das Kapitel über </w:t>
      </w:r>
      <w:r>
        <w:t>Investitionen soll aufgrund der gemachten Erfahrungen und dem Wandel internationaler Bedingungen in einem noch festzulegenden Zeitraum</w:t>
      </w:r>
      <w:r>
        <w:t>, vorgeschlagen sind fünf Jahre,</w:t>
      </w:r>
      <w:r>
        <w:t xml:space="preserve"> überprüft und geändert werden. Das steht so in dem geleakten Entwurf der Interpretationse</w:t>
      </w:r>
      <w:r>
        <w:t xml:space="preserve">rklärung. Änderungen im Sinne der roten Linien der SPD sind dabei nicht zu erwarten. So entsprachen die „Fortschritte“ des Investitionsschutzrechts im zweiten </w:t>
      </w:r>
      <w:r>
        <w:t>,</w:t>
      </w:r>
      <w:r>
        <w:t xml:space="preserve"> CETA-Entwurf</w:t>
      </w:r>
      <w:r>
        <w:t xml:space="preserve">, der die Basis für den unterzeichneten </w:t>
      </w:r>
      <w:r>
        <w:t xml:space="preserve">Vertragstext darstellt, </w:t>
      </w:r>
      <w:r>
        <w:t>den</w:t>
      </w:r>
      <w:r>
        <w:t xml:space="preserve"> damaligen Neuerungen der internationalen Investitionsschutzdebatte. Internationale Gerichtshöfe sind geradezu aufgerufen, das internationale Recht fort zu entwickeln. Das gilt dann auch für den angestrebten internationalen Investitionsgerichtshof. Die jet</w:t>
      </w:r>
      <w:r>
        <w:t xml:space="preserve">zt vorgeschlagene Interpretationserklärung zu CETA wird mittel- und langfristig von der internationalen Diskussion und Rechtsprechung im Investitionsschutzrecht überschrieben werden. </w:t>
      </w:r>
    </w:p>
    <w:p w:rsidR="00C972CC" w:rsidRDefault="00C972CC"/>
    <w:p w:rsidR="00C972CC" w:rsidRDefault="0060754D">
      <w:r>
        <w:rPr>
          <w:u w:val="single"/>
        </w:rPr>
        <w:t>Katharina Pistor</w:t>
      </w:r>
      <w:r>
        <w:rPr>
          <w:u w:val="single"/>
        </w:rPr>
        <w:t>, aus Deutschland sta</w:t>
      </w:r>
      <w:r>
        <w:rPr>
          <w:u w:val="single"/>
        </w:rPr>
        <w:t>mmende Professorin an der Columbia</w:t>
      </w:r>
      <w:r>
        <w:rPr>
          <w:u w:val="single"/>
        </w:rPr>
        <w:t xml:space="preserve"> Law School, New York,</w:t>
      </w:r>
      <w:r>
        <w:t xml:space="preserve"> hat in ihrem</w:t>
      </w:r>
      <w:r>
        <w:rPr>
          <w:u w:val="single"/>
        </w:rPr>
        <w:t xml:space="preserve"> Buch „Der Code des Kapitals“</w:t>
      </w:r>
      <w:r>
        <w:t xml:space="preserve"> anhand des internationalen </w:t>
      </w:r>
      <w:r>
        <w:t xml:space="preserve">Finanz- und </w:t>
      </w:r>
      <w:r>
        <w:t>Wirt</w:t>
      </w:r>
      <w:r>
        <w:softHyphen/>
        <w:t xml:space="preserve">schaftsrechts </w:t>
      </w:r>
      <w:r>
        <w:t xml:space="preserve">gezeigt, dass und wie es </w:t>
      </w:r>
      <w:r>
        <w:rPr>
          <w:u w:val="single"/>
        </w:rPr>
        <w:t>best bezahlten, findigen, wirtschaftsnahen Anwälten</w:t>
      </w:r>
      <w:r>
        <w:t xml:space="preserve"> </w:t>
      </w:r>
      <w:r>
        <w:t xml:space="preserve"> </w:t>
      </w:r>
      <w:r>
        <w:t xml:space="preserve"> gelingt, </w:t>
      </w:r>
      <w:r>
        <w:rPr>
          <w:u w:val="single"/>
        </w:rPr>
        <w:t xml:space="preserve">rechtliche </w:t>
      </w:r>
      <w:r>
        <w:rPr>
          <w:u w:val="single"/>
        </w:rPr>
        <w:t>, Hebel</w:t>
      </w:r>
      <w:r>
        <w:t xml:space="preserve"> </w:t>
      </w:r>
      <w:r>
        <w:rPr>
          <w:u w:val="single"/>
        </w:rPr>
        <w:t>,</w:t>
      </w:r>
      <w:r>
        <w:t xml:space="preserve"> zu finden und auch international effektiv zu machen, um </w:t>
      </w:r>
      <w:r>
        <w:rPr>
          <w:u w:val="single"/>
        </w:rPr>
        <w:t>Einkommen und Vermögen ihrer Klientel auf Kosten der Allgemeinheit zu sichern und zu vermehren.</w:t>
      </w:r>
      <w:r>
        <w:t xml:space="preserve"> Das geschieht </w:t>
      </w:r>
      <w:r>
        <w:rPr>
          <w:u w:val="single"/>
        </w:rPr>
        <w:t xml:space="preserve">jenseits der parlamentarischen </w:t>
      </w:r>
      <w:r>
        <w:rPr>
          <w:u w:val="single"/>
        </w:rPr>
        <w:t>Rechtsetzung</w:t>
      </w:r>
      <w:r>
        <w:rPr>
          <w:u w:val="single"/>
        </w:rPr>
        <w:t xml:space="preserve"> vor Gerichten</w:t>
      </w:r>
      <w:r>
        <w:t xml:space="preserve">. Es ist </w:t>
      </w:r>
      <w:r>
        <w:rPr>
          <w:u w:val="single"/>
        </w:rPr>
        <w:t>nicht davon auszugehen</w:t>
      </w:r>
      <w:r>
        <w:t xml:space="preserve">, dass das </w:t>
      </w:r>
      <w:r>
        <w:lastRenderedPageBreak/>
        <w:t>I</w:t>
      </w:r>
      <w:r>
        <w:rPr>
          <w:u w:val="single"/>
        </w:rPr>
        <w:t>nvestitionsschutzrecht</w:t>
      </w:r>
      <w:r>
        <w:t xml:space="preserve"> </w:t>
      </w:r>
      <w:r>
        <w:rPr>
          <w:u w:val="single"/>
        </w:rPr>
        <w:t>davon ausgenommen</w:t>
      </w:r>
      <w:r>
        <w:t xml:space="preserve"> ist. </w:t>
      </w:r>
      <w:r>
        <w:t xml:space="preserve">Die Arena, die bereit gestellt wird, wird bespielt werden. </w:t>
      </w:r>
    </w:p>
    <w:p w:rsidR="00C972CC" w:rsidRDefault="00C972CC"/>
    <w:p w:rsidR="00C972CC" w:rsidRDefault="0060754D">
      <w:r>
        <w:t xml:space="preserve">Das Schicksal der </w:t>
      </w:r>
      <w:r>
        <w:rPr>
          <w:u w:val="single"/>
        </w:rPr>
        <w:t>Interpretationserklärung, die am 17. 1 2017</w:t>
      </w:r>
      <w:r>
        <w:t xml:space="preserve"> anlässlich der Unt</w:t>
      </w:r>
      <w:r>
        <w:t>erzeichnung von CETA abgegeben wurde,</w:t>
      </w:r>
      <w:r>
        <w:rPr>
          <w:u w:val="single"/>
        </w:rPr>
        <w:t xml:space="preserve"> untergräbt</w:t>
      </w:r>
      <w:r>
        <w:t xml:space="preserve"> ebenfalls das </w:t>
      </w:r>
      <w:r>
        <w:rPr>
          <w:u w:val="single"/>
        </w:rPr>
        <w:t>Vertrauen</w:t>
      </w:r>
      <w:r>
        <w:t xml:space="preserve"> in ein solches Instrument. Diese Inter</w:t>
      </w:r>
      <w:r>
        <w:softHyphen/>
        <w:t>pretationserklärung war beschlossen worden, um den roten Linien des Parteikonvents am 19. Sep</w:t>
      </w:r>
      <w:r>
        <w:softHyphen/>
        <w:t xml:space="preserve">tember 2016 </w:t>
      </w:r>
      <w:r>
        <w:t>Rechnung zu tragen</w:t>
      </w:r>
      <w:r>
        <w:t>.</w:t>
      </w:r>
    </w:p>
    <w:p w:rsidR="00C972CC" w:rsidRDefault="00C972CC"/>
    <w:p w:rsidR="00C972CC" w:rsidRDefault="0060754D">
      <w:r>
        <w:rPr>
          <w:u w:val="single"/>
        </w:rPr>
        <w:t>Umgese</w:t>
      </w:r>
      <w:r>
        <w:rPr>
          <w:u w:val="single"/>
        </w:rPr>
        <w:t>tzt</w:t>
      </w:r>
      <w:r>
        <w:t xml:space="preserve"> wurden vor allem die Teile, die die internationalen Investitionsgerichte vorantreiben, </w:t>
      </w:r>
      <w:r>
        <w:rPr>
          <w:u w:val="single"/>
        </w:rPr>
        <w:t>nicht</w:t>
      </w:r>
      <w:r>
        <w:t xml:space="preserve"> aber der vorgesehene Nachbesserungsbedarf in den </w:t>
      </w:r>
      <w:r>
        <w:rPr>
          <w:u w:val="single"/>
        </w:rPr>
        <w:t>Arbeits- und Umweltkapiteln</w:t>
      </w:r>
      <w:r>
        <w:t xml:space="preserve"> und die </w:t>
      </w:r>
      <w:r>
        <w:rPr>
          <w:u w:val="single"/>
        </w:rPr>
        <w:t>in</w:t>
      </w:r>
      <w:r>
        <w:rPr>
          <w:u w:val="single"/>
        </w:rPr>
        <w:softHyphen/>
        <w:t>haltliche Einschränkung des Investitionsschutzes</w:t>
      </w:r>
      <w:r>
        <w:t>. Beides waren wichtige</w:t>
      </w:r>
      <w:r>
        <w:t xml:space="preserve"> rote Linien im Parteikon</w:t>
      </w:r>
      <w:r>
        <w:softHyphen/>
        <w:t xml:space="preserve">ventsbeschluss 2016. Fünf Jahre zur Verbesserung des Abkommens wurden vertan. </w:t>
      </w:r>
    </w:p>
    <w:p w:rsidR="00C972CC" w:rsidRDefault="00C972CC"/>
    <w:p w:rsidR="00C972CC" w:rsidRDefault="0060754D">
      <w:r>
        <w:t>Der nunmehr durch eine Indiskretion bekannt gewordene Vorschlag</w:t>
      </w:r>
      <w:r>
        <w:t xml:space="preserve"> </w:t>
      </w:r>
      <w:r>
        <w:rPr>
          <w:u w:val="single"/>
        </w:rPr>
        <w:t xml:space="preserve">einer weiteren Interpretationserklärung </w:t>
      </w:r>
      <w:r>
        <w:t xml:space="preserve">enthält </w:t>
      </w:r>
      <w:r>
        <w:rPr>
          <w:u w:val="single"/>
        </w:rPr>
        <w:t>Präzisierungen und Beschränkungen</w:t>
      </w:r>
      <w:r>
        <w:t xml:space="preserve"> der </w:t>
      </w:r>
      <w:r>
        <w:t xml:space="preserve">Anspruchsgrundlagen im Investitionsschutz, die aber, wie oben ausgeführt, in ihrer </w:t>
      </w:r>
      <w:r>
        <w:rPr>
          <w:u w:val="single"/>
        </w:rPr>
        <w:t>mittel- und langfristigen Geltung fragwürdig sind</w:t>
      </w:r>
      <w:r>
        <w:t xml:space="preserve">. </w:t>
      </w:r>
    </w:p>
    <w:p w:rsidR="00C972CC" w:rsidRDefault="00C972CC"/>
    <w:p w:rsidR="00C972CC" w:rsidRDefault="0060754D">
      <w:r>
        <w:t xml:space="preserve">Der Vorschlag enthält auch Vorgaben, die den </w:t>
      </w:r>
      <w:r>
        <w:rPr>
          <w:u w:val="single"/>
        </w:rPr>
        <w:t>Handlungsspielraum</w:t>
      </w:r>
      <w:r>
        <w:t xml:space="preserve"> der EU und der Partnerstaaten </w:t>
      </w:r>
      <w:r>
        <w:rPr>
          <w:u w:val="single"/>
        </w:rPr>
        <w:t>bei Klimaschutzmaßnahmen s</w:t>
      </w:r>
      <w:r>
        <w:rPr>
          <w:u w:val="single"/>
        </w:rPr>
        <w:t>ichern</w:t>
      </w:r>
      <w:r>
        <w:t xml:space="preserve"> soll</w:t>
      </w:r>
      <w:r>
        <w:t>en</w:t>
      </w:r>
      <w:r>
        <w:t xml:space="preserve">. Unabhängig von der tatsächlichen Reichweite dieser Kriterien, zeigt sich hier die </w:t>
      </w:r>
      <w:r>
        <w:rPr>
          <w:u w:val="single"/>
        </w:rPr>
        <w:t>grundsätzliche Problematik des internationalen Investitionsschutzes</w:t>
      </w:r>
      <w:r>
        <w:t>: Der Skandal liegt darin, dass die internationalen Investitionsschutzgerichte einen weitere</w:t>
      </w:r>
      <w:r>
        <w:t>n und</w:t>
      </w:r>
      <w:r>
        <w:rPr>
          <w:u w:val="single"/>
        </w:rPr>
        <w:t xml:space="preserve"> zur nationalen und europäischen Rechtsprechung</w:t>
      </w:r>
      <w:r>
        <w:t xml:space="preserve"> alternativen Rechtsweg über die Klimaschutzmaßnahmen (und andere Handlungen öffentlicher Organe) eröffnen (mit der Folge eines möglichen Schadensersatzes).</w:t>
      </w:r>
    </w:p>
    <w:p w:rsidR="00C972CC" w:rsidRDefault="00C972CC"/>
    <w:p w:rsidR="00C972CC" w:rsidRDefault="0060754D">
      <w:r>
        <w:t xml:space="preserve">Der ASJ-Antrag verweist auf </w:t>
      </w:r>
      <w:r>
        <w:rPr>
          <w:u w:val="single"/>
        </w:rPr>
        <w:t xml:space="preserve">weitere kritische </w:t>
      </w:r>
      <w:r>
        <w:rPr>
          <w:u w:val="single"/>
        </w:rPr>
        <w:t>Punkte</w:t>
      </w:r>
      <w:r>
        <w:t xml:space="preserve"> in CETA und bittet, diese erneut zu bedenken: </w:t>
      </w:r>
    </w:p>
    <w:p w:rsidR="00C972CC" w:rsidRDefault="0060754D">
      <w:r>
        <w:t xml:space="preserve">- die </w:t>
      </w:r>
      <w:r>
        <w:rPr>
          <w:u w:val="single"/>
        </w:rPr>
        <w:t>weitreichenden Befugnisse</w:t>
      </w:r>
      <w:r>
        <w:t xml:space="preserve"> der </w:t>
      </w:r>
      <w:r>
        <w:rPr>
          <w:u w:val="single"/>
        </w:rPr>
        <w:t>CETA-Ausschüsse</w:t>
      </w:r>
      <w:r>
        <w:t>, die teilweise unklar formuliert sind sowie grundsätzlichen und weitgehenden Charakter haben. Bei wesentlichen Fragen und allgemeinen Re</w:t>
      </w:r>
      <w:r>
        <w:softHyphen/>
        <w:t xml:space="preserve">geln fordert </w:t>
      </w:r>
      <w:r>
        <w:t>der ASJ-Antrag einen Parlamentsvorbehalt.</w:t>
      </w:r>
    </w:p>
    <w:p w:rsidR="00C972CC" w:rsidRDefault="0060754D">
      <w:r>
        <w:t xml:space="preserve">- die </w:t>
      </w:r>
      <w:r>
        <w:rPr>
          <w:u w:val="single"/>
        </w:rPr>
        <w:t>mangelnde Verankerung</w:t>
      </w:r>
      <w:r>
        <w:t xml:space="preserve"> des </w:t>
      </w:r>
      <w:r>
        <w:rPr>
          <w:u w:val="single"/>
        </w:rPr>
        <w:t>Vorsorgeprinzips</w:t>
      </w:r>
      <w:r>
        <w:t>, das von kanadischen Vertretern etwa im Ge</w:t>
      </w:r>
      <w:r>
        <w:softHyphen/>
        <w:t>mischten Verwaltungsausschuss für gesundheitspolizeiliche und pflanzenschutzrechtliche Maßnah</w:t>
      </w:r>
      <w:r>
        <w:softHyphen/>
        <w:t xml:space="preserve">men (SPS-Ausschuss) bereits </w:t>
      </w:r>
      <w:r>
        <w:t>massiv angegriffen wird. Die europäischen und kanadischen Vertreter in diesem Ausschuss haben sich auf das gemeinsame Ziel der langfristigen Abschaffung des Vorsor</w:t>
      </w:r>
      <w:r>
        <w:softHyphen/>
        <w:t>geprinzips in Europa geeinigt.</w:t>
      </w:r>
    </w:p>
    <w:p w:rsidR="00C972CC" w:rsidRDefault="0060754D">
      <w:r>
        <w:t xml:space="preserve">- der </w:t>
      </w:r>
      <w:r>
        <w:rPr>
          <w:u w:val="single"/>
        </w:rPr>
        <w:t>Schutz der Daseinsvorsorge vor weiteren Marktöffnungen</w:t>
      </w:r>
      <w:r>
        <w:t>,</w:t>
      </w:r>
      <w:r>
        <w:t xml:space="preserve"> der von den zersplitterten und oft unbestimmten Ausnahmeregelungen in CETA nur </w:t>
      </w:r>
      <w:r>
        <w:rPr>
          <w:u w:val="single"/>
        </w:rPr>
        <w:t>unzureichend gewährleistet</w:t>
      </w:r>
      <w:r>
        <w:t xml:space="preserve"> wird. Die aktuelle Debatte um die Energieversorgung zeigt, dass es im Handlungsfeld der Daseinsvorsorge erforder</w:t>
      </w:r>
      <w:r>
        <w:softHyphen/>
        <w:t>lich ist, den vollen politischen Han</w:t>
      </w:r>
      <w:r>
        <w:t>dlungsspielraum in der Daseinsvorsorge nicht durch unklare in</w:t>
      </w:r>
      <w:r>
        <w:softHyphen/>
        <w:t>ternationale Verträge zu gefährden. Dazu ist die vom Parteikonvent 2016 geforderte ausdrückliche Benennung der Marktöffnungsbereiche (Positivliste) und nicht die Listung der Ausnahmen das richti</w:t>
      </w:r>
      <w:r>
        <w:t>ge Instrument.</w:t>
      </w:r>
    </w:p>
    <w:p w:rsidR="00C972CC" w:rsidRDefault="0060754D">
      <w:r>
        <w:t xml:space="preserve">- die </w:t>
      </w:r>
      <w:r>
        <w:rPr>
          <w:u w:val="single"/>
        </w:rPr>
        <w:t>Arbeits- und Umweltkapitel</w:t>
      </w:r>
      <w:r>
        <w:t xml:space="preserve">, die ohne Sanktionierbarkeit </w:t>
      </w:r>
      <w:r>
        <w:t>faktisch wirkungslos sind</w:t>
      </w:r>
      <w:r>
        <w:t xml:space="preserve">. In dem Entwurf der neuen Interpretationserklärung ist nach fünf Jahren Untätigkeit erneut der Auftrag einer Überarbeitung </w:t>
      </w:r>
      <w:r>
        <w:t>dieser Kapitel innerhalb eines noch nicht endgültig festgelegten Zeitraumes</w:t>
      </w:r>
      <w:r>
        <w:t>, vorgeschlagen sind fünf Jahre,</w:t>
      </w:r>
      <w:r>
        <w:t xml:space="preserve"> enthalten. Die neue Strategie der Kommission zur besseren Umsetzung und Durchsetzung von Nachhaltigkeit soll dabei handlungsleitend sei. Selbst unte</w:t>
      </w:r>
      <w:r>
        <w:t xml:space="preserve">r dem Druck einer noch nicht erfolgten Ratifizierung ist der Auftrag der ersten Interpretationserklärung nicht umgesetzt worden. Es gibt daher berechtigte Zweifel, inwieweit das ernsthaft betrieben wird, </w:t>
      </w:r>
      <w:r>
        <w:lastRenderedPageBreak/>
        <w:t xml:space="preserve">wenn CETA </w:t>
      </w:r>
      <w:r>
        <w:t xml:space="preserve"> ratifiziert sein wird. Zudem reicht e</w:t>
      </w:r>
      <w:r>
        <w:t>ine Revision der Arbeits- und Umweltkapitel nicht aus. Der ganze Vertrag muss im Lichte der Nachhaltigkeit überprüft und angepasst werden.</w:t>
      </w:r>
    </w:p>
    <w:p w:rsidR="00C972CC" w:rsidRDefault="00C972CC"/>
    <w:p w:rsidR="00C972CC" w:rsidRDefault="0060754D">
      <w:r>
        <w:t xml:space="preserve">Nicht der Protest gegen CETA ist </w:t>
      </w:r>
      <w:r>
        <w:rPr>
          <w:u w:val="single"/>
        </w:rPr>
        <w:t>aus der Zeit gefallen</w:t>
      </w:r>
      <w:r>
        <w:t xml:space="preserve">, sondern </w:t>
      </w:r>
      <w:r>
        <w:rPr>
          <w:u w:val="single"/>
        </w:rPr>
        <w:t>CETA</w:t>
      </w:r>
      <w:r>
        <w:t xml:space="preserve"> </w:t>
      </w:r>
      <w:r>
        <w:rPr>
          <w:u w:val="single"/>
        </w:rPr>
        <w:t>selbst</w:t>
      </w:r>
      <w:r>
        <w:t>. Der Gas- und Ölim</w:t>
      </w:r>
      <w:r>
        <w:softHyphen/>
        <w:t xml:space="preserve">port aus Kanada wird </w:t>
      </w:r>
      <w:r>
        <w:t>durch den fehlenden Investitionsschutz nicht berührt. Durch die vorläufige Anwendung sind fast alle Zölle zwischen Kanada und Europa bereits abgeschafft worden. Ange</w:t>
      </w:r>
      <w:r>
        <w:softHyphen/>
        <w:t>sichts der Klimakrise und der erforderlichen Stärkung politischer Instrumente in der EU zu</w:t>
      </w:r>
      <w:r>
        <w:t>r Siche</w:t>
      </w:r>
      <w:r>
        <w:softHyphen/>
        <w:t xml:space="preserve">rung der Daseinsvorsorge würde </w:t>
      </w:r>
      <w:r>
        <w:rPr>
          <w:u w:val="single"/>
        </w:rPr>
        <w:t>CETA</w:t>
      </w:r>
      <w:r>
        <w:t xml:space="preserve"> </w:t>
      </w:r>
      <w:r>
        <w:rPr>
          <w:u w:val="single"/>
        </w:rPr>
        <w:t>heute in dieser Form nicht mehr abgeschlossen</w:t>
      </w:r>
      <w:r>
        <w:t xml:space="preserve"> werden kön</w:t>
      </w:r>
      <w:r>
        <w:softHyphen/>
        <w:t xml:space="preserve">nen. </w:t>
      </w:r>
    </w:p>
    <w:p w:rsidR="00C972CC" w:rsidRDefault="00C972CC"/>
    <w:p w:rsidR="00C972CC" w:rsidRDefault="0060754D">
      <w:r>
        <w:t>Mit der Ratifizierung wird beim</w:t>
      </w:r>
      <w:r>
        <w:rPr>
          <w:u w:val="single"/>
        </w:rPr>
        <w:t xml:space="preserve"> Investitionsschutz</w:t>
      </w:r>
      <w:r>
        <w:t xml:space="preserve"> die </w:t>
      </w:r>
      <w:r>
        <w:rPr>
          <w:u w:val="single"/>
        </w:rPr>
        <w:t>Büchse der Pandora</w:t>
      </w:r>
      <w:r>
        <w:t xml:space="preserve"> geöffnet. Das lässt sich </w:t>
      </w:r>
      <w:r>
        <w:rPr>
          <w:u w:val="single"/>
        </w:rPr>
        <w:t>kaum jemals wieder ändern</w:t>
      </w:r>
      <w:r>
        <w:t>. Vertragsänderungen und</w:t>
      </w:r>
      <w:r>
        <w:t xml:space="preserve"> Anpassungen unklaren Inhalts werden auf einen späteren Zeitpunkt verschoben. </w:t>
      </w:r>
      <w:r>
        <w:rPr>
          <w:u w:val="single"/>
        </w:rPr>
        <w:t>Notwendig</w:t>
      </w:r>
      <w:r>
        <w:t xml:space="preserve"> ist aber: </w:t>
      </w:r>
      <w:r>
        <w:rPr>
          <w:u w:val="single"/>
        </w:rPr>
        <w:t>erst verbessern</w:t>
      </w:r>
      <w:r>
        <w:rPr>
          <w:u w:val="single"/>
        </w:rPr>
        <w:t xml:space="preserve"> und nur ratifizieren, wenn die Bedenken tatsächlich ausgeräumt sind</w:t>
      </w:r>
    </w:p>
    <w:sectPr w:rsidR="00C972CC">
      <w:footerReference w:type="default" r:id="rId6"/>
      <w:pgSz w:w="11906" w:h="16838"/>
      <w:pgMar w:top="1134" w:right="1134" w:bottom="1693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54D" w:rsidRDefault="0060754D">
      <w:r>
        <w:separator/>
      </w:r>
    </w:p>
  </w:endnote>
  <w:endnote w:type="continuationSeparator" w:id="0">
    <w:p w:rsidR="0060754D" w:rsidRDefault="0060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2CC" w:rsidRDefault="0060754D">
    <w:pPr>
      <w:pStyle w:val="Fuzeile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54D" w:rsidRDefault="0060754D">
      <w:r>
        <w:separator/>
      </w:r>
    </w:p>
  </w:footnote>
  <w:footnote w:type="continuationSeparator" w:id="0">
    <w:p w:rsidR="0060754D" w:rsidRDefault="00607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CC"/>
    <w:rsid w:val="0060754D"/>
    <w:rsid w:val="00C972CC"/>
    <w:rsid w:val="00D15BC3"/>
    <w:rsid w:val="00EA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90029-841D-48D0-8C5D-88A9959D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Lohit Devanagari"/>
        <w:kern w:val="2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Kopf-undFuzei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6912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Folke</dc:creator>
  <dc:description/>
  <cp:lastModifiedBy>Folke</cp:lastModifiedBy>
  <cp:revision>3</cp:revision>
  <dcterms:created xsi:type="dcterms:W3CDTF">2022-10-17T20:59:00Z</dcterms:created>
  <dcterms:modified xsi:type="dcterms:W3CDTF">2022-10-17T20:59:00Z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