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370E5" w:rsidRDefault="00543EF0">
      <w:pPr>
        <w:jc w:val="center"/>
        <w:rPr>
          <w:rFonts w:ascii="Arial" w:hAnsi="Arial" w:cs="Arial"/>
          <w:b/>
          <w:szCs w:val="28"/>
        </w:rPr>
      </w:pPr>
      <w:bookmarkStart w:id="0" w:name="_GoBack"/>
      <w:bookmarkEnd w:id="0"/>
      <w:r>
        <w:rPr>
          <w:rFonts w:ascii="Arial" w:hAnsi="Arial" w:cs="Arial"/>
          <w:b/>
          <w:sz w:val="24"/>
          <w:szCs w:val="24"/>
        </w:rPr>
        <w:t>Beschluss des ASJ-Bundesausschusses am 11. September 2022 in Hannover</w:t>
      </w:r>
    </w:p>
    <w:p w:rsidR="009370E5" w:rsidRDefault="009370E5">
      <w:pPr>
        <w:jc w:val="center"/>
        <w:rPr>
          <w:rFonts w:ascii="Arial" w:hAnsi="Arial" w:cs="Arial"/>
          <w:b/>
          <w:szCs w:val="28"/>
        </w:rPr>
      </w:pPr>
    </w:p>
    <w:p w:rsidR="009370E5" w:rsidRDefault="00543EF0">
      <w:pPr>
        <w:jc w:val="center"/>
        <w:rPr>
          <w:rFonts w:ascii="Arial" w:hAnsi="Arial" w:cs="Arial"/>
          <w:b/>
          <w:szCs w:val="28"/>
        </w:rPr>
      </w:pPr>
      <w:r>
        <w:rPr>
          <w:rFonts w:ascii="Arial" w:hAnsi="Arial" w:cs="Arial"/>
          <w:b/>
          <w:bCs/>
          <w:sz w:val="32"/>
          <w:szCs w:val="32"/>
        </w:rPr>
        <w:t>Ratifizierung von CETA nur mit rechtssicheren und dauerhaft wirksamen Instrumenten und ohne Zeitdruck</w:t>
      </w:r>
    </w:p>
    <w:p w:rsidR="009370E5" w:rsidRDefault="009370E5">
      <w:pPr>
        <w:spacing w:line="276" w:lineRule="auto"/>
        <w:rPr>
          <w:rFonts w:ascii="Liberation Serif;Times New Roma" w:hAnsi="Liberation Serif;Times New Roma" w:cs="Liberation Serif;Times New Roma"/>
          <w:sz w:val="24"/>
          <w:szCs w:val="24"/>
        </w:rPr>
      </w:pPr>
    </w:p>
    <w:p w:rsidR="009370E5" w:rsidRDefault="009370E5">
      <w:pPr>
        <w:spacing w:line="276" w:lineRule="auto"/>
        <w:rPr>
          <w:rFonts w:ascii="Liberation Serif;Times New Roma" w:hAnsi="Liberation Serif;Times New Roma" w:cs="Liberation Serif;Times New Roma"/>
          <w:sz w:val="24"/>
          <w:szCs w:val="24"/>
        </w:rPr>
      </w:pPr>
    </w:p>
    <w:p w:rsidR="009370E5" w:rsidRDefault="00543EF0">
      <w:pPr>
        <w:spacing w:line="276" w:lineRule="auto"/>
        <w:jc w:val="center"/>
      </w:pPr>
      <w:r>
        <w:rPr>
          <w:rFonts w:ascii="Liberation Serif;Times New Roma" w:hAnsi="Liberation Serif;Times New Roma" w:cs="Liberation Serif;Times New Roma"/>
          <w:sz w:val="24"/>
          <w:szCs w:val="24"/>
        </w:rPr>
        <w:t>I.</w:t>
      </w:r>
    </w:p>
    <w:p w:rsidR="009370E5" w:rsidRDefault="009370E5">
      <w:pPr>
        <w:spacing w:line="276" w:lineRule="auto"/>
        <w:jc w:val="center"/>
        <w:rPr>
          <w:rFonts w:ascii="Liberation Serif;Times New Roma" w:hAnsi="Liberation Serif;Times New Roma" w:cs="Liberation Serif;Times New Roma"/>
          <w:sz w:val="24"/>
          <w:szCs w:val="24"/>
        </w:rPr>
      </w:pPr>
    </w:p>
    <w:p w:rsidR="009370E5" w:rsidRDefault="00543EF0">
      <w:r>
        <w:rPr>
          <w:rFonts w:ascii="Liberation Serif" w:hAnsi="Liberation Serif" w:cs="Arial"/>
          <w:sz w:val="24"/>
          <w:szCs w:val="24"/>
        </w:rPr>
        <w:t xml:space="preserve">Die SPD-Abgeordneten im Deutschen Bundestag werden, da ein objektiver </w:t>
      </w:r>
      <w:r>
        <w:rPr>
          <w:rFonts w:ascii="Liberation Serif" w:hAnsi="Liberation Serif" w:cs="Arial"/>
          <w:sz w:val="24"/>
          <w:szCs w:val="24"/>
        </w:rPr>
        <w:t>Zeitdruck nicht besteht, aufgefordert, sich dafür einzusetzen, den mit der Vorlage des  am 1. 7. vom Bundeskabinett beschlossenen CETA-Ratifizierungsgesetzes eingeleiteten Ratifizierungsprozess auszusetzen und erst dann weiter zu führen, wenn die erforderl</w:t>
      </w:r>
      <w:r>
        <w:rPr>
          <w:rFonts w:ascii="Liberation Serif" w:hAnsi="Liberation Serif" w:cs="Arial"/>
          <w:sz w:val="24"/>
          <w:szCs w:val="24"/>
        </w:rPr>
        <w:t>ichen Vertragsänderungen in einer Form vorliegen, die im Gegensatz zu der geplanten „verbindlichen Auslegung“ (das Eckpunktepapier „Handelspolitik der Bundesregierung“ vom 1. 7. 2022 spricht von einer „Interpretationserklärung des CETA-Ausschusses“) den Än</w:t>
      </w:r>
      <w:r>
        <w:rPr>
          <w:rFonts w:ascii="Liberation Serif" w:hAnsi="Liberation Serif" w:cs="Arial"/>
          <w:sz w:val="24"/>
          <w:szCs w:val="24"/>
        </w:rPr>
        <w:t>derungsbedarf von CETA tatsächlich bewirkt. Die Probleme in CETA sind mit einer Auslegungserklärung durch den Gemischten CETA-Ausschuss nicht zu beseitigen, es bedarf eines Zusatzabkommens mit vertragsändernder Wirkung oder einer Vertragsänderung.</w:t>
      </w:r>
    </w:p>
    <w:p w:rsidR="009370E5" w:rsidRDefault="00543EF0">
      <w:pPr>
        <w:pStyle w:val="StandardWeb"/>
      </w:pPr>
      <w:r>
        <w:rPr>
          <w:rFonts w:ascii="Liberation Serif" w:hAnsi="Liberation Serif" w:cs="Arial"/>
        </w:rPr>
        <w:t>Die Mitg</w:t>
      </w:r>
      <w:r>
        <w:rPr>
          <w:rFonts w:ascii="Liberation Serif" w:hAnsi="Liberation Serif" w:cs="Arial"/>
        </w:rPr>
        <w:t>lieder Bundesregierung werden aufgefordert, im Kabinett, gegenüber der Europäischen Kommission und ggf. im Rat auf die erforderlichen Änderungen hinzuwirken. Die Europabgeordneten der SPD sind ebenfalls aufgerufen, dies im Europäischen Parlament zu tun.</w:t>
      </w:r>
    </w:p>
    <w:p w:rsidR="009370E5" w:rsidRDefault="00543EF0">
      <w:pPr>
        <w:pStyle w:val="StandardWeb"/>
      </w:pPr>
      <w:r>
        <w:rPr>
          <w:rFonts w:ascii="Liberation Serif" w:hAnsi="Liberation Serif" w:cs="Arial"/>
        </w:rPr>
        <w:t>Di</w:t>
      </w:r>
      <w:r>
        <w:rPr>
          <w:rFonts w:ascii="Liberation Serif" w:hAnsi="Liberation Serif" w:cs="Arial"/>
        </w:rPr>
        <w:t>e erforderlichen Änderungen sind:</w:t>
      </w:r>
    </w:p>
    <w:p w:rsidR="009370E5" w:rsidRDefault="00543EF0">
      <w:pPr>
        <w:pStyle w:val="StandardWeb"/>
      </w:pPr>
      <w:r>
        <w:rPr>
          <w:rFonts w:ascii="Liberation Serif" w:hAnsi="Liberation Serif" w:cs="Arial"/>
        </w:rPr>
        <w:t>1. Die in der Kabinettsvorlage zum CETA-Ratifizierungsgesetz angesprochene „bindende Auslegung“ bzw. „Interpretationserklärung des Gemeinsamen CETA-Ausschusses.“ wie es in dem Eckpunktepapier der Bundesregierung heißt, ist</w:t>
      </w:r>
      <w:r>
        <w:rPr>
          <w:rFonts w:ascii="Liberation Serif" w:hAnsi="Liberation Serif" w:cs="Arial"/>
        </w:rPr>
        <w:t xml:space="preserve"> nicht hinreichend wirksam. Um wirksam die im Koalitionsvertrag angesprochenen Anliegen umzusetzen, bedarf es eines Zusatzabkommens (Side Letter oder Protokoll) oder eine Neuverhandlung des Vertrags. Ein Zusatzabkommen muss die Änderungen im Verhältnis zum</w:t>
      </w:r>
      <w:r>
        <w:rPr>
          <w:rFonts w:ascii="Liberation Serif" w:hAnsi="Liberation Serif" w:cs="Arial"/>
        </w:rPr>
        <w:t xml:space="preserve"> Vertrag widerspruchsfrei zum Ausdruck bringen.</w:t>
      </w:r>
    </w:p>
    <w:p w:rsidR="009370E5" w:rsidRDefault="00543EF0">
      <w:pPr>
        <w:pStyle w:val="StandardWeb"/>
      </w:pPr>
      <w:r>
        <w:rPr>
          <w:rFonts w:ascii="Liberation Serif" w:hAnsi="Liberation Serif" w:cs="Arial"/>
        </w:rPr>
        <w:t>2. Der Änderungsbedarf beim Investitionsschutz muss entsprechend der Formulierung im Koalitionsvertrag vom 29. 11. 2021 erfolgen und nicht nach den abgeschwächten Formulierungen in der Kabinettsvorlage vom 1.</w:t>
      </w:r>
      <w:r>
        <w:rPr>
          <w:rFonts w:ascii="Liberation Serif" w:hAnsi="Liberation Serif" w:cs="Arial"/>
        </w:rPr>
        <w:t xml:space="preserve"> 7. 2022. Im Koalitionsvertrag heißt es: „Wir setzen uns für Investitionsschutzabkommen ein, die den Investitionsschutz für Unternehmen im Ausland auf </w:t>
      </w:r>
      <w:r>
        <w:rPr>
          <w:rFonts w:ascii="Liberation Serif" w:hAnsi="Liberation Serif" w:cs="Arial"/>
          <w:u w:val="single"/>
        </w:rPr>
        <w:t>direkte Enteignungen und Diskriminierungen konzentrieren</w:t>
      </w:r>
      <w:r>
        <w:rPr>
          <w:rFonts w:ascii="Liberation Serif" w:hAnsi="Liberation Serif" w:cs="Arial"/>
        </w:rPr>
        <w:t xml:space="preserve"> und wollen </w:t>
      </w:r>
      <w:r>
        <w:rPr>
          <w:rFonts w:ascii="Liberation Serif" w:hAnsi="Liberation Serif" w:cs="Arial"/>
          <w:u w:val="single"/>
        </w:rPr>
        <w:t xml:space="preserve">die </w:t>
      </w:r>
      <w:r>
        <w:rPr>
          <w:rFonts w:ascii="Liberation Serif" w:hAnsi="Liberation Serif" w:cs="Arial"/>
          <w:u w:val="single"/>
        </w:rPr>
        <w:lastRenderedPageBreak/>
        <w:t>missbräuchliche Anwendung des Ins</w:t>
      </w:r>
      <w:r>
        <w:rPr>
          <w:rFonts w:ascii="Liberation Serif" w:hAnsi="Liberation Serif" w:cs="Arial"/>
          <w:u w:val="single"/>
        </w:rPr>
        <w:t>truments</w:t>
      </w:r>
      <w:r>
        <w:rPr>
          <w:rFonts w:ascii="Liberation Serif" w:hAnsi="Liberation Serif" w:cs="Arial"/>
        </w:rPr>
        <w:t xml:space="preserve"> – auch in den noch ausstehenden Abkommen – </w:t>
      </w:r>
      <w:r>
        <w:rPr>
          <w:rFonts w:ascii="Liberation Serif" w:hAnsi="Liberation Serif" w:cs="Arial"/>
          <w:u w:val="single"/>
        </w:rPr>
        <w:t>verhindern</w:t>
      </w:r>
      <w:r>
        <w:rPr>
          <w:rFonts w:ascii="Liberation Serif" w:hAnsi="Liberation Serif" w:cs="Arial"/>
        </w:rPr>
        <w:t xml:space="preserve">.“ In der Kabinettsvorlage heißt es dagegen deutlich abgeschwächt: „Im </w:t>
      </w:r>
      <w:r>
        <w:rPr>
          <w:rFonts w:ascii="Liberation Serif" w:hAnsi="Liberation Serif" w:cs="Arial"/>
          <w:u w:val="single"/>
        </w:rPr>
        <w:t>Einklang mit den Zielsetzungen des Koalitionsvertrages</w:t>
      </w:r>
      <w:r>
        <w:rPr>
          <w:rFonts w:ascii="Liberation Serif" w:hAnsi="Liberation Serif" w:cs="Arial"/>
        </w:rPr>
        <w:t xml:space="preserve"> setzt sich die Bundesregierung unverzüglich dafür ein, gemeinsam mit</w:t>
      </w:r>
      <w:r>
        <w:rPr>
          <w:rFonts w:ascii="Liberation Serif" w:hAnsi="Liberation Serif" w:cs="Arial"/>
        </w:rPr>
        <w:t xml:space="preserve"> den Partnern des Abkommens im Wege einer bindenden </w:t>
      </w:r>
      <w:r>
        <w:rPr>
          <w:rFonts w:ascii="Liberation Serif" w:hAnsi="Liberation Serif" w:cs="Arial"/>
          <w:u w:val="single"/>
        </w:rPr>
        <w:t>Auslegung von materiell-rechtlichen Investitionsschutzstandards</w:t>
      </w:r>
      <w:r>
        <w:rPr>
          <w:rFonts w:ascii="Liberation Serif" w:hAnsi="Liberation Serif" w:cs="Arial"/>
        </w:rPr>
        <w:t xml:space="preserve"> in CETA </w:t>
      </w:r>
      <w:r>
        <w:rPr>
          <w:rFonts w:ascii="Liberation Serif" w:hAnsi="Liberation Serif" w:cs="Arial"/>
          <w:u w:val="single"/>
        </w:rPr>
        <w:t>eine missbräuchliche Anwendung dieser Standards wirksam zu begrenzen</w:t>
      </w:r>
      <w:r>
        <w:rPr>
          <w:rFonts w:ascii="Liberation Serif" w:hAnsi="Liberation Serif" w:cs="Arial"/>
        </w:rPr>
        <w:t>“.</w:t>
      </w:r>
    </w:p>
    <w:p w:rsidR="009370E5" w:rsidRDefault="00543EF0">
      <w:pPr>
        <w:pStyle w:val="StandardWeb"/>
      </w:pPr>
      <w:r>
        <w:rPr>
          <w:rFonts w:ascii="Liberation Serif" w:hAnsi="Liberation Serif" w:cs="Arial"/>
        </w:rPr>
        <w:t>3. Neben der ebenfalls in der Regierungsvorlage zum Ratifizie</w:t>
      </w:r>
      <w:r>
        <w:rPr>
          <w:rFonts w:ascii="Liberation Serif" w:hAnsi="Liberation Serif" w:cs="Arial"/>
        </w:rPr>
        <w:t>rungsgesetz vorgesehenen Fortschreibung des Einstimmigkeitserfordernisses im Rat im Hinblick auf Beschlüsse des Gemischten CETA-Ausschusses bei nationalen Angelegenheiten muss es, sofern wesentliche Fragen und allgemeine Regeln in den CETA-Ausschüssen beha</w:t>
      </w:r>
      <w:r>
        <w:rPr>
          <w:rFonts w:ascii="Liberation Serif" w:hAnsi="Liberation Serif" w:cs="Arial"/>
        </w:rPr>
        <w:t>ndelt werden und Rechtsetzung erfolgt, ein Zustimmungserfordernis des Europäischen Parlaments (bei EU-Zuständigkeit) geben. Die Fortschreibung der Einstimmigkeit im Rat im Hinblick auf die Beschlüsse des Gemischten CETA-Ausschusses bei nationalen Angelegen</w:t>
      </w:r>
      <w:r>
        <w:rPr>
          <w:rFonts w:ascii="Liberation Serif" w:hAnsi="Liberation Serif" w:cs="Arial"/>
        </w:rPr>
        <w:t>heiten ist ohnehin nach dem Urteil des BVerfG vom 15. März 2022 zu CETA verfassungsrechtlich geboten. Zwar will</w:t>
      </w:r>
      <w:r>
        <w:rPr>
          <w:rFonts w:ascii="Liberation Serif" w:hAnsi="Liberation Serif" w:cs="Arial"/>
        </w:rPr>
        <w:t xml:space="preserve"> sich </w:t>
      </w:r>
      <w:bookmarkStart w:id="1" w:name="page9R_mcid721"/>
      <w:bookmarkEnd w:id="1"/>
      <w:r>
        <w:rPr>
          <w:rFonts w:ascii="Liberation Serif" w:hAnsi="Liberation Serif" w:cs="Arial"/>
        </w:rPr>
        <w:t>die Bundesregierung „für eine Stärkung der Rolle des Europäischen Parlamentes im Rahmen der regulatorischen Kooperation“ einsetzen, erforde</w:t>
      </w:r>
      <w:r>
        <w:rPr>
          <w:rFonts w:ascii="Liberation Serif" w:hAnsi="Liberation Serif" w:cs="Arial"/>
        </w:rPr>
        <w:t xml:space="preserve">rlich ist aber auch mit einem Parlamentsvorbehalt an den gewichtigen Befugnissen der Ausschüsse anzusetzen. </w:t>
      </w:r>
    </w:p>
    <w:p w:rsidR="009370E5" w:rsidRDefault="00543EF0">
      <w:pPr>
        <w:pStyle w:val="StandardWeb"/>
      </w:pPr>
      <w:r>
        <w:rPr>
          <w:rFonts w:ascii="Liberation Serif" w:hAnsi="Liberation Serif" w:cs="Arial"/>
        </w:rPr>
        <w:t>4. Die im Gemeinsamen Auslegungsinstrument von CETA aus 2016 angekündigte frühzeitige Überprüfung in den Bereichen Handel und Arbeit sowie Handel u</w:t>
      </w:r>
      <w:r>
        <w:rPr>
          <w:rFonts w:ascii="Liberation Serif" w:hAnsi="Liberation Serif" w:cs="Arial"/>
        </w:rPr>
        <w:t>nd Umwelt auch im Hinblick auf deren effektive Durchsetzbarkeit muss endlich umgesetzt werden. Die effektive Durchsetzbarkeit dieser Kapitel wäre auch im Einklang mit der neuen EU-Handelsstrategie von 2021und der neuen Handelspolitik der Bundesregierung, d</w:t>
      </w:r>
      <w:r>
        <w:rPr>
          <w:rFonts w:ascii="Liberation Serif" w:hAnsi="Liberation Serif" w:cs="Arial"/>
        </w:rPr>
        <w:t>ie im Eckpunktepapier vom 1. 7. 2022 skizziert wird.</w:t>
      </w:r>
    </w:p>
    <w:p w:rsidR="009370E5" w:rsidRDefault="00543EF0">
      <w:pPr>
        <w:pStyle w:val="StandardWeb"/>
        <w:jc w:val="center"/>
      </w:pPr>
      <w:r>
        <w:rPr>
          <w:rFonts w:ascii="Liberation Serif" w:hAnsi="Liberation Serif" w:cs="Arial"/>
        </w:rPr>
        <w:t xml:space="preserve">II. </w:t>
      </w:r>
    </w:p>
    <w:p w:rsidR="009370E5" w:rsidRDefault="00543EF0">
      <w:pPr>
        <w:pStyle w:val="StandardWeb"/>
      </w:pPr>
      <w:r>
        <w:rPr>
          <w:rFonts w:ascii="Liberation Serif" w:hAnsi="Liberation Serif" w:cs="Arial"/>
        </w:rPr>
        <w:t>Darüber hinaus gibt die ASJ erneut ihre Kritikpunkte an CETA in Anlehnung an die beim Parteikonvent vom 19. September festgestellten „offenen Punkte und Fragen“ und formulierten „klaren Erwartungen“</w:t>
      </w:r>
      <w:r>
        <w:rPr>
          <w:rFonts w:ascii="Liberation Serif" w:hAnsi="Liberation Serif" w:cs="Arial"/>
        </w:rPr>
        <w:t xml:space="preserve"> zu Bedenken. Sie verweist dabei auf ihren beim Bundesausschuss am 29. 05. 2016 in Hamburg beschlossenen Musterantrag zum Parteikonvent mit den beispielhaften neuralgischen Punkten:</w:t>
      </w:r>
    </w:p>
    <w:p w:rsidR="009370E5" w:rsidRDefault="00543EF0">
      <w:pPr>
        <w:pStyle w:val="StandardWeb"/>
      </w:pPr>
      <w:r>
        <w:rPr>
          <w:rFonts w:ascii="Liberation Serif" w:hAnsi="Liberation Serif" w:cs="Arial"/>
        </w:rPr>
        <w:t>Investitionsschutz</w:t>
      </w:r>
    </w:p>
    <w:p w:rsidR="009370E5" w:rsidRDefault="00543EF0">
      <w:pPr>
        <w:pStyle w:val="StandardWeb"/>
      </w:pPr>
      <w:r>
        <w:rPr>
          <w:rFonts w:ascii="Liberation Serif" w:hAnsi="Liberation Serif" w:cs="Arial"/>
        </w:rPr>
        <w:t>Regulatorische Kooperation</w:t>
      </w:r>
    </w:p>
    <w:p w:rsidR="009370E5" w:rsidRDefault="00543EF0">
      <w:pPr>
        <w:pStyle w:val="StandardWeb"/>
      </w:pPr>
      <w:r>
        <w:rPr>
          <w:rFonts w:ascii="Liberation Serif" w:hAnsi="Liberation Serif" w:cs="Arial"/>
        </w:rPr>
        <w:t>Daseinsvorsorge</w:t>
      </w:r>
    </w:p>
    <w:p w:rsidR="009370E5" w:rsidRDefault="00543EF0">
      <w:pPr>
        <w:pStyle w:val="StandardWeb"/>
      </w:pPr>
      <w:r>
        <w:rPr>
          <w:rFonts w:ascii="Liberation Serif" w:hAnsi="Liberation Serif" w:cs="Arial"/>
        </w:rPr>
        <w:t>Vorsorgeprin</w:t>
      </w:r>
      <w:r>
        <w:rPr>
          <w:rFonts w:ascii="Liberation Serif" w:hAnsi="Liberation Serif" w:cs="Arial"/>
        </w:rPr>
        <w:t>zip.</w:t>
      </w:r>
    </w:p>
    <w:p w:rsidR="009370E5" w:rsidRDefault="00543EF0">
      <w:pPr>
        <w:pStyle w:val="StandardWeb"/>
      </w:pPr>
      <w:r>
        <w:rPr>
          <w:rFonts w:ascii="Liberation Serif" w:hAnsi="Liberation Serif" w:cs="Arial"/>
        </w:rPr>
        <w:t>Die bekannt gewordene Praxis zeigt zum Beispiel, dass die Feststellungen der ASJ zum in CETA nur mangelhaft verankerten Vorsorgeprinzip nur zu berechtigt waren. So geht aus einem bekannt gewordenen Protokoll des Gemischten Verwaltungsausschusses für g</w:t>
      </w:r>
      <w:r>
        <w:rPr>
          <w:rFonts w:ascii="Liberation Serif" w:hAnsi="Liberation Serif" w:cs="Arial"/>
        </w:rPr>
        <w:t>esundheitspolizeiliche und pflanzenschutzrechtliche Maßnahmen (SPS-Ausschuss) hervor, dass Kanada bereits jetzt in der vorläufigen Anwendung das Vorsorgeprinzip massiv angreift und dass sowohl die kanadischen als auch die europäischen Vertreter in diesem A</w:t>
      </w:r>
      <w:r>
        <w:rPr>
          <w:rFonts w:ascii="Liberation Serif" w:hAnsi="Liberation Serif" w:cs="Arial"/>
        </w:rPr>
        <w:t>usschuss sich langfristig die Abschaffung des Vorsorgeprinzips in Europa zum Ziel gesetzt haben.</w:t>
      </w:r>
    </w:p>
    <w:p w:rsidR="009370E5" w:rsidRDefault="00543EF0">
      <w:pPr>
        <w:pStyle w:val="StandardWeb"/>
      </w:pPr>
      <w:r>
        <w:rPr>
          <w:rFonts w:ascii="Liberation Serif" w:hAnsi="Liberation Serif" w:cs="Arial"/>
        </w:rPr>
        <w:lastRenderedPageBreak/>
        <w:t>Es ist dringend erforderlich, dass die SPD-Mitglieder in der Bundesregierung, der Parteivorstand, die SPD-Fraktionen in Bundestag und Europaparlament ihre Halt</w:t>
      </w:r>
      <w:r>
        <w:rPr>
          <w:rFonts w:ascii="Liberation Serif" w:hAnsi="Liberation Serif" w:cs="Arial"/>
        </w:rPr>
        <w:t xml:space="preserve">ung zu CETA überdenken. </w:t>
      </w:r>
    </w:p>
    <w:p w:rsidR="009370E5" w:rsidRDefault="00543EF0">
      <w:pPr>
        <w:pStyle w:val="StandardWeb"/>
        <w:jc w:val="center"/>
      </w:pPr>
      <w:r>
        <w:rPr>
          <w:rFonts w:ascii="Liberation Serif" w:hAnsi="Liberation Serif" w:cs="Arial"/>
        </w:rPr>
        <w:t>III.</w:t>
      </w:r>
    </w:p>
    <w:p w:rsidR="009370E5" w:rsidRDefault="00543EF0">
      <w:pPr>
        <w:pStyle w:val="StandardWeb"/>
        <w:spacing w:line="276" w:lineRule="auto"/>
        <w:rPr>
          <w:rFonts w:ascii="Liberation Serif;Times New Roma" w:hAnsi="Liberation Serif;Times New Roma" w:cs="Liberation Serif;Times New Roma"/>
        </w:rPr>
      </w:pPr>
      <w:r>
        <w:rPr>
          <w:rFonts w:ascii="Liberation Serif" w:hAnsi="Liberation Serif" w:cs="Arial"/>
        </w:rPr>
        <w:t>Der weitere Ratifizierungsprozess muss transparent sein. Bereits im Entwurfsstadium muss der Ergänzungs- und Änderungstext veröffentlicht werden. Die Veröffentlichung muss so rechtzeitig geschehen, dass der Text in der Öffentl</w:t>
      </w:r>
      <w:r>
        <w:rPr>
          <w:rFonts w:ascii="Liberation Serif" w:hAnsi="Liberation Serif" w:cs="Arial"/>
        </w:rPr>
        <w:t>ichkeit, der Zivilgesellschaft und von Verbänden gründlich analysiert und kommentiert werden kann und eine echte Rückmeldung möglich ist.</w:t>
      </w:r>
    </w:p>
    <w:p w:rsidR="009370E5" w:rsidRDefault="00543EF0">
      <w:pPr>
        <w:rPr>
          <w:rFonts w:ascii="Liberation Serif" w:hAnsi="Liberation Serif"/>
          <w:sz w:val="32"/>
          <w:szCs w:val="32"/>
        </w:rPr>
      </w:pPr>
      <w:r>
        <w:rPr>
          <w:rFonts w:ascii="Liberation Serif" w:hAnsi="Liberation Serif"/>
          <w:b/>
          <w:bCs/>
          <w:sz w:val="32"/>
          <w:szCs w:val="32"/>
          <w:u w:val="single"/>
        </w:rPr>
        <w:t>Begründung und Sachstand</w:t>
      </w:r>
    </w:p>
    <w:p w:rsidR="009370E5" w:rsidRDefault="009370E5">
      <w:pPr>
        <w:rPr>
          <w:rFonts w:ascii="Liberation Serif" w:hAnsi="Liberation Serif"/>
          <w:szCs w:val="28"/>
          <w:u w:val="single"/>
        </w:rPr>
      </w:pPr>
    </w:p>
    <w:p w:rsidR="009370E5" w:rsidRDefault="00543EF0">
      <w:pPr>
        <w:spacing w:line="276" w:lineRule="auto"/>
        <w:rPr>
          <w:rFonts w:ascii="Liberation Serif" w:hAnsi="Liberation Serif" w:cs="Liberation Serif;Times New Roma"/>
          <w:sz w:val="24"/>
          <w:szCs w:val="24"/>
        </w:rPr>
      </w:pPr>
      <w:r>
        <w:rPr>
          <w:rFonts w:ascii="Liberation Serif" w:hAnsi="Liberation Serif" w:cs="Arial"/>
          <w:b/>
          <w:bCs/>
          <w:szCs w:val="28"/>
          <w:u w:val="single"/>
        </w:rPr>
        <w:t>I. Der Weg zum aktuellen Ratifizierungsprozess</w:t>
      </w:r>
    </w:p>
    <w:p w:rsidR="009370E5" w:rsidRDefault="009370E5">
      <w:pPr>
        <w:spacing w:line="276" w:lineRule="auto"/>
        <w:rPr>
          <w:rFonts w:ascii="Liberation Serif" w:hAnsi="Liberation Serif" w:cs="Liberation Serif;Times New Roma"/>
          <w:sz w:val="24"/>
          <w:szCs w:val="24"/>
        </w:rPr>
      </w:pPr>
    </w:p>
    <w:p w:rsidR="009370E5" w:rsidRDefault="00543EF0">
      <w:pPr>
        <w:rPr>
          <w:rFonts w:ascii="Liberation Serif" w:hAnsi="Liberation Serif"/>
          <w:sz w:val="24"/>
          <w:szCs w:val="24"/>
        </w:rPr>
      </w:pPr>
      <w:r>
        <w:rPr>
          <w:rFonts w:ascii="Liberation Serif" w:hAnsi="Liberation Serif"/>
          <w:sz w:val="24"/>
          <w:szCs w:val="24"/>
          <w:u w:val="single"/>
        </w:rPr>
        <w:t xml:space="preserve">Europäisch-kanadische Verhandlungen, </w:t>
      </w:r>
      <w:r>
        <w:rPr>
          <w:rFonts w:ascii="Liberation Serif" w:hAnsi="Liberation Serif"/>
          <w:sz w:val="24"/>
          <w:szCs w:val="24"/>
          <w:u w:val="single"/>
        </w:rPr>
        <w:t>Ratifizierung durch das EP und teilweise vorläufige Anwendung</w:t>
      </w:r>
    </w:p>
    <w:p w:rsidR="009370E5" w:rsidRDefault="009370E5">
      <w:pPr>
        <w:rPr>
          <w:rFonts w:ascii="Liberation Serif" w:hAnsi="Liberation Serif"/>
          <w:sz w:val="24"/>
          <w:szCs w:val="24"/>
          <w:u w:val="single"/>
        </w:rPr>
      </w:pPr>
    </w:p>
    <w:p w:rsidR="009370E5" w:rsidRDefault="00543EF0">
      <w:pPr>
        <w:rPr>
          <w:rFonts w:ascii="Liberation Serif" w:hAnsi="Liberation Serif"/>
          <w:sz w:val="24"/>
          <w:szCs w:val="24"/>
        </w:rPr>
      </w:pPr>
      <w:bookmarkStart w:id="2" w:name="page451R_mcid18"/>
      <w:bookmarkEnd w:id="2"/>
      <w:r>
        <w:rPr>
          <w:rFonts w:ascii="Liberation Serif" w:hAnsi="Liberation Serif"/>
          <w:sz w:val="24"/>
          <w:szCs w:val="24"/>
        </w:rPr>
        <w:t xml:space="preserve">Nach der Zustimmung des Rates der Europäischen Union 2009 zur Aufnahme von Verhandlungen mit Kanada zum Abschluss eines Handelsabkommens und dem Einbezug des Investitionsschutzes 2011 handelte </w:t>
      </w:r>
      <w:r>
        <w:rPr>
          <w:rFonts w:ascii="Liberation Serif" w:hAnsi="Liberation Serif"/>
          <w:sz w:val="24"/>
          <w:szCs w:val="24"/>
        </w:rPr>
        <w:t xml:space="preserve">die Europäische Kommission das umfassende Wirtschafts- und Handelsabkommen mit Kanada (Comprehensive Economic and Trade Agreement – CETA) aus. </w:t>
      </w:r>
      <w:bookmarkStart w:id="3" w:name="page451R_mcid182"/>
      <w:bookmarkEnd w:id="3"/>
      <w:r>
        <w:rPr>
          <w:rFonts w:ascii="Liberation Serif" w:hAnsi="Liberation Serif"/>
          <w:sz w:val="24"/>
          <w:szCs w:val="24"/>
        </w:rPr>
        <w:t>Nach Abschluss der Verhandlungen und der Rechtsförmlichkeitsprüfung wurde CETA am 30. Oktober 2016 durch Kanada u</w:t>
      </w:r>
      <w:r>
        <w:rPr>
          <w:rFonts w:ascii="Liberation Serif" w:hAnsi="Liberation Serif"/>
          <w:sz w:val="24"/>
          <w:szCs w:val="24"/>
        </w:rPr>
        <w:t>nd die Europäische Union unterzeichnet. Die EU-Mitgliedsstaaten hatten dies bereits vorher getan, Deutschland am 28. Oktober 2016. Nach der Zustimmung des Europäischen Parlaments am 15. Februar 2017 wird es seit dem 21. September 2017 vorläufig angewendet,</w:t>
      </w:r>
      <w:r>
        <w:rPr>
          <w:rFonts w:ascii="Liberation Serif" w:hAnsi="Liberation Serif"/>
          <w:sz w:val="24"/>
          <w:szCs w:val="24"/>
        </w:rPr>
        <w:t xml:space="preserve"> soweit ausschließlich die EU zuständig ist. Dazu zählt u. a. </w:t>
      </w:r>
      <w:r>
        <w:rPr>
          <w:rFonts w:ascii="Liberation Serif" w:hAnsi="Liberation Serif"/>
          <w:sz w:val="24"/>
          <w:szCs w:val="24"/>
          <w:u w:val="single"/>
        </w:rPr>
        <w:t>nicht</w:t>
      </w:r>
      <w:r>
        <w:rPr>
          <w:rFonts w:ascii="Liberation Serif" w:hAnsi="Liberation Serif"/>
          <w:sz w:val="24"/>
          <w:szCs w:val="24"/>
        </w:rPr>
        <w:t xml:space="preserve"> der Investitionsschutz, da er sowohl in die Kompetenz der EU als auch der Mitgliedstaaten fällt. Die Einstufung von CETA als gemischtes Abkommen folgt dem EuGH. Der hat in seinem Gutachten</w:t>
      </w:r>
      <w:r>
        <w:rPr>
          <w:rFonts w:ascii="Liberation Serif" w:hAnsi="Liberation Serif"/>
          <w:sz w:val="24"/>
          <w:szCs w:val="24"/>
        </w:rPr>
        <w:t xml:space="preserve"> 2/15 vom Mai 2017 zum Freihandelsabkommen zwischen der EU und Singapur, das ähnliche Investitionsschutz-Vorschriften wie CETA enthält, so entschieden. CETA ist also ein gemischtes Abkommen, das erst nach Ratifizierung auch durch die Mitgliedstaaten vollst</w:t>
      </w:r>
      <w:r>
        <w:rPr>
          <w:rFonts w:ascii="Liberation Serif" w:hAnsi="Liberation Serif"/>
          <w:sz w:val="24"/>
          <w:szCs w:val="24"/>
        </w:rPr>
        <w:t xml:space="preserve">ändig in Kraft tritt.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u w:val="single"/>
        </w:rPr>
        <w:t>Beschluss des BVerfG vom 9. Februar 2022</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Gegen das Verhalten der Bundesregierung im Rat bei der Abstimmung über CETA und dessen vorläufiger Anwendung richteten sich drei Verfassungsbeschwerden von insgesamt über 193.000 Personen so</w:t>
      </w:r>
      <w:r>
        <w:rPr>
          <w:rFonts w:ascii="Liberation Serif" w:hAnsi="Liberation Serif"/>
          <w:sz w:val="24"/>
          <w:szCs w:val="24"/>
        </w:rPr>
        <w:t>wie ein Organstreitverfahren der Fraktion Die Linke im Deutschen Bundestag. Die Anträge auf Erlass einstweiliger Anordnungen, um die deutsche Zustimmung zu unterbinden, wurden vom BVerfG vor der endgültigen Abstimmung im Rat am 28.10.2016 mit Urteil vom 13</w:t>
      </w:r>
      <w:r>
        <w:rPr>
          <w:rFonts w:ascii="Liberation Serif" w:hAnsi="Liberation Serif"/>
          <w:sz w:val="24"/>
          <w:szCs w:val="24"/>
        </w:rPr>
        <w:t>. 10. 2016 abgelehnt.</w:t>
      </w:r>
      <w:r>
        <w:rPr>
          <w:rStyle w:val="Funotenanker"/>
          <w:rFonts w:ascii="Liberation Serif" w:hAnsi="Liberation Serif"/>
          <w:sz w:val="24"/>
          <w:szCs w:val="24"/>
        </w:rPr>
        <w:footnoteReference w:id="1"/>
      </w:r>
      <w:r>
        <w:rPr>
          <w:rFonts w:ascii="Liberation Serif" w:hAnsi="Liberation Serif"/>
          <w:sz w:val="24"/>
          <w:szCs w:val="24"/>
        </w:rPr>
        <w:t xml:space="preserve"> Das Gericht schloss eine Kompetenzüberschreitung der EU und eine Verletzung der Verfassungsidentität nicht aus, sah aber schwerer wiegende Nachteile, wenn sich das im Hauptsacheverfahren nicht bestätigen werde, als im umgekehrten Fal</w:t>
      </w:r>
      <w:r>
        <w:rPr>
          <w:rFonts w:ascii="Liberation Serif" w:hAnsi="Liberation Serif"/>
          <w:sz w:val="24"/>
          <w:szCs w:val="24"/>
        </w:rPr>
        <w:t xml:space="preserve">l bei der erfolgten Zustimmung.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 xml:space="preserve">In seinem Beschluss vom 9. Februar 2022 ließ das BVerfG nur die Beschwerde gegen die deutsche Zustimmung im Rat zur vorläufigen Anwendung zu, nicht aber gegen CETA selbst oder ein potentielles deutsches Zustimmungsgesetz, </w:t>
      </w:r>
      <w:r>
        <w:rPr>
          <w:rFonts w:ascii="Liberation Serif" w:hAnsi="Liberation Serif"/>
          <w:sz w:val="24"/>
          <w:szCs w:val="24"/>
        </w:rPr>
        <w:t>das es noch nicht gäbe.</w:t>
      </w:r>
      <w:r>
        <w:rPr>
          <w:rStyle w:val="Funotenanker"/>
          <w:rFonts w:ascii="Liberation Serif" w:hAnsi="Liberation Serif"/>
          <w:sz w:val="24"/>
          <w:szCs w:val="24"/>
        </w:rPr>
        <w:footnoteReference w:id="2"/>
      </w:r>
      <w:r>
        <w:rPr>
          <w:rFonts w:ascii="Liberation Serif" w:hAnsi="Liberation Serif"/>
          <w:sz w:val="24"/>
          <w:szCs w:val="24"/>
        </w:rPr>
        <w:t xml:space="preserve">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Bei der vorläufige Anwendung, die sich ja auf den Bereich beschränkt, der in der Zuständigkeit der EU fällt, hat das Gericht keine Überschreitung der europäischen Kompetenzen festgestellt. Auch die Verfassungsidentität sah das BV</w:t>
      </w:r>
      <w:r>
        <w:rPr>
          <w:rFonts w:ascii="Liberation Serif" w:hAnsi="Liberation Serif"/>
          <w:sz w:val="24"/>
          <w:szCs w:val="24"/>
        </w:rPr>
        <w:t xml:space="preserve">erfG nicht als berührt an. Zwar hätten die zur Umsetzung von CETA geschaffenen Ausschüsse, insbesondere der Gemischte CETA-Ausschuss, über eng definierte technische Fragen hinausgehende Befugnisse zu für die Vertragsparteien verbindlichen Beschlüssen, die </w:t>
      </w:r>
      <w:r>
        <w:rPr>
          <w:rFonts w:ascii="Liberation Serif" w:hAnsi="Liberation Serif"/>
          <w:sz w:val="24"/>
          <w:szCs w:val="24"/>
        </w:rPr>
        <w:t>teilweise unklar formuliert seien und teilweise grundsätzlichen und weitgehenden Charakter hätten. Aber bei den notwendigen Ratsbeschlüssen müssten die erforderlichen internen Anforderungen und Verfahren der Mitgliedstaaten beachtet werden. Der Rat, der di</w:t>
      </w:r>
      <w:r>
        <w:rPr>
          <w:rFonts w:ascii="Liberation Serif" w:hAnsi="Liberation Serif"/>
          <w:sz w:val="24"/>
          <w:szCs w:val="24"/>
        </w:rPr>
        <w:t>e EU-Vertreter in den Ausschüssen ermächtige, entscheide zwar mit qualifizierter Mehrheit, so dass Deutschland überstimmt werden könne, was das potentielle Einfallstor für eine Verletzung der Verfassungsidentität wäre. Aus der Entstehungsgeschichte und aus</w:t>
      </w:r>
      <w:r>
        <w:rPr>
          <w:rFonts w:ascii="Liberation Serif" w:hAnsi="Liberation Serif"/>
          <w:sz w:val="24"/>
          <w:szCs w:val="24"/>
        </w:rPr>
        <w:t xml:space="preserve"> dem Kontext der Protokollerklärung Nr. 19 des Rates Rates zu CETA vom 27. Oktober 2016 zu den Abstimmungen ergebe sich aber, dass das europäische Abstimmungsverhalten immer einvernehmlich mit den Mitgliedstaaten festgelegt werde, soweit die Vorgabe in der</w:t>
      </w:r>
      <w:r>
        <w:rPr>
          <w:rFonts w:ascii="Liberation Serif" w:hAnsi="Liberation Serif"/>
          <w:sz w:val="24"/>
          <w:szCs w:val="24"/>
        </w:rPr>
        <w:t xml:space="preserve">en Kompetenzbereich falle. Die Verfassungsidentität werde nicht verletzt.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 xml:space="preserve">Da BVerfG erwähnt auch die Protokollerklärung Nr. 18. Darin erklärt die Kommission, dass sie keinen Vorschlag zu einer Veränderung des Vertrages und einer bindenden Interpretation </w:t>
      </w:r>
      <w:r>
        <w:rPr>
          <w:rFonts w:ascii="Liberation Serif" w:hAnsi="Liberation Serif"/>
          <w:sz w:val="24"/>
          <w:szCs w:val="24"/>
        </w:rPr>
        <w:t>im Gemischten CETA-Ausschuss bis zur Verkündung des BVerfG-Urteils vorlegen wird.</w:t>
      </w:r>
      <w:r>
        <w:rPr>
          <w:rStyle w:val="Funotenanker"/>
          <w:rFonts w:ascii="Liberation Serif" w:hAnsi="Liberation Serif"/>
          <w:sz w:val="24"/>
          <w:szCs w:val="24"/>
        </w:rPr>
        <w:footnoteReference w:id="3"/>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Gleichzeitig scheinen jedoch an einigen Stellen des Beschlusses Zweifel des BVerfG auf. So würden mit „CETA möglicherweise Hoheitsrechte auf das Gerichts- und Ausschusssyst</w:t>
      </w:r>
      <w:r>
        <w:rPr>
          <w:rFonts w:ascii="Liberation Serif" w:hAnsi="Liberation Serif"/>
          <w:sz w:val="24"/>
          <w:szCs w:val="24"/>
        </w:rPr>
        <w:t>em weiter übertragen werden“ (Rn. 185). Es sei „zweifelhaft“, dass Art. 218 Abs. 9 AEUV für die demokratische Legitimation und Kontrolle der Ausschussbeschlüsse ausreiche (Rn. 190). Der Völkerrechtler an der Friedrich-Alexander Universität Erlangen-Nürnber</w:t>
      </w:r>
      <w:r>
        <w:rPr>
          <w:rFonts w:ascii="Liberation Serif" w:hAnsi="Liberation Serif"/>
          <w:sz w:val="24"/>
          <w:szCs w:val="24"/>
        </w:rPr>
        <w:t>g Markus Krajewski gibt zu bedenken, dass das Bundesverfassungsgericht keineswegs CETA in Gänze für verfassungskonform erklärt habe. Es sei nur um den Beschluss zum vorläufigen Inkrafttreten gegangen. Die Angelegenheit sei nicht endgültig geklärt. Das Geri</w:t>
      </w:r>
      <w:r>
        <w:rPr>
          <w:rFonts w:ascii="Liberation Serif" w:hAnsi="Liberation Serif"/>
          <w:sz w:val="24"/>
          <w:szCs w:val="24"/>
        </w:rPr>
        <w:t>cht habe ausdrücklich nicht über die künftige deutsche Beteiligung im Rat bei der Zustimmung der EU zum endgültigen Inkrafttreten und über das Ratifizierungsgesetz entschieden. Krajewski führt auch verfassungsrechtliche Bedenken gegen den Investitionsschut</w:t>
      </w:r>
      <w:r>
        <w:rPr>
          <w:rFonts w:ascii="Liberation Serif" w:hAnsi="Liberation Serif"/>
          <w:sz w:val="24"/>
          <w:szCs w:val="24"/>
        </w:rPr>
        <w:t>z im Rahmen von CETA an. Damit gehe eine gegen Art. 3 GG verstoßende Diskriminierung von inländischen Investoren einher, da diese anders als ausländische Investoren in der gleichen Situation keine Klage zum CETA-Investitionsgericht erheben könnten.</w:t>
      </w:r>
      <w:r>
        <w:rPr>
          <w:rStyle w:val="Funotenanker"/>
          <w:rFonts w:ascii="Liberation Serif" w:hAnsi="Liberation Serif"/>
          <w:sz w:val="24"/>
          <w:szCs w:val="24"/>
        </w:rPr>
        <w:footnoteReference w:id="4"/>
      </w:r>
      <w:r>
        <w:rPr>
          <w:rFonts w:ascii="Liberation Serif" w:hAnsi="Liberation Serif"/>
          <w:sz w:val="24"/>
          <w:szCs w:val="24"/>
        </w:rPr>
        <w:t xml:space="preserve"> Angesi</w:t>
      </w:r>
      <w:r>
        <w:rPr>
          <w:rFonts w:ascii="Liberation Serif" w:hAnsi="Liberation Serif"/>
          <w:sz w:val="24"/>
          <w:szCs w:val="24"/>
        </w:rPr>
        <w:t>chts der nur vorläufigen verfassungsrechtlichen Klärung bereitet Mehr Demokratie e. V. bereits eine weitere Verfassungsbeschwerde vor, auch mit dem Antrag zu einer einstweiligen Anordnung zur Verhinderung der Ratifizierung.</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u w:val="single"/>
        </w:rPr>
        <w:lastRenderedPageBreak/>
        <w:t>Ampel-Koalitionsvertrag vom 29.</w:t>
      </w:r>
      <w:r>
        <w:rPr>
          <w:rFonts w:ascii="Liberation Serif" w:hAnsi="Liberation Serif"/>
          <w:sz w:val="24"/>
          <w:szCs w:val="24"/>
          <w:u w:val="single"/>
        </w:rPr>
        <w:t xml:space="preserve"> November 2021</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Im Koalitionsvertrag vom 29. November 2021 spricht sich die Ampel für eine Stärkung des regelbasierten Freihandels auf der Grundlage von fairen sozialen, ökologischen und menschenrechtlichen Standards, Multilateralismus sowie einer Weiteren</w:t>
      </w:r>
      <w:r>
        <w:rPr>
          <w:rFonts w:ascii="Liberation Serif" w:hAnsi="Liberation Serif"/>
          <w:sz w:val="24"/>
          <w:szCs w:val="24"/>
        </w:rPr>
        <w:t>twicklung der WTO und gegen Protektionismus und unfaire Handelspraktiken aus.</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Die Neuausrichtung der EU-Handelstrategie wird unterstützt. Bei der Vertragsfortentwicklung durch die regulatorische Kooperation sollen die Entscheidungskompetenzen des EU-Parla</w:t>
      </w:r>
      <w:r>
        <w:rPr>
          <w:rFonts w:ascii="Liberation Serif" w:hAnsi="Liberation Serif"/>
          <w:sz w:val="24"/>
          <w:szCs w:val="24"/>
        </w:rPr>
        <w:t xml:space="preserve">ments gestärkt werden.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bookmarkStart w:id="4" w:name="page141R_mcid1435"/>
      <w:bookmarkEnd w:id="4"/>
      <w:r>
        <w:rPr>
          <w:rFonts w:ascii="Liberation Serif" w:hAnsi="Liberation Serif"/>
          <w:sz w:val="24"/>
          <w:szCs w:val="24"/>
        </w:rPr>
        <w:t>Zum Investitionsschutz heißt es: „Wir setzen uns für Investitionsabkommen ein, die den Investitions</w:t>
      </w:r>
      <w:bookmarkStart w:id="5" w:name="page141R_mcid1436"/>
      <w:bookmarkEnd w:id="5"/>
      <w:r>
        <w:rPr>
          <w:rFonts w:ascii="Liberation Serif" w:hAnsi="Liberation Serif"/>
          <w:sz w:val="24"/>
          <w:szCs w:val="24"/>
        </w:rPr>
        <w:t>schutz für Unternehmen im Ausland auf direkte Enteignungen und Diskriminierungen konzentrieren und wollen die missbräuchliche Anwend</w:t>
      </w:r>
      <w:r>
        <w:rPr>
          <w:rFonts w:ascii="Liberation Serif" w:hAnsi="Liberation Serif"/>
          <w:sz w:val="24"/>
          <w:szCs w:val="24"/>
        </w:rPr>
        <w:t>ung des Instruments – auch bei den noch ausstehenden Abkommen – verhindern“.</w:t>
      </w:r>
    </w:p>
    <w:p w:rsidR="009370E5" w:rsidRDefault="009370E5">
      <w:pPr>
        <w:rPr>
          <w:rFonts w:ascii="Liberation Serif" w:hAnsi="Liberation Serif"/>
          <w:sz w:val="24"/>
          <w:szCs w:val="24"/>
        </w:rPr>
      </w:pPr>
    </w:p>
    <w:p w:rsidR="009370E5" w:rsidRDefault="00543EF0">
      <w:pPr>
        <w:spacing w:line="276" w:lineRule="auto"/>
        <w:rPr>
          <w:rFonts w:ascii="Liberation Serif" w:hAnsi="Liberation Serif" w:cs="Liberation Serif;Times New Roma"/>
          <w:sz w:val="24"/>
          <w:szCs w:val="24"/>
        </w:rPr>
      </w:pPr>
      <w:r>
        <w:rPr>
          <w:rFonts w:ascii="Liberation Serif" w:hAnsi="Liberation Serif" w:cs="Arial"/>
          <w:sz w:val="24"/>
          <w:szCs w:val="24"/>
        </w:rPr>
        <w:t>Die Entscheidung über die Ratifizierung von CETA wollte die Ampel nach der Entscheidung des BVerfG treffen.</w:t>
      </w:r>
      <w:r>
        <w:rPr>
          <w:rStyle w:val="Funotenanker"/>
          <w:rFonts w:ascii="Liberation Serif" w:hAnsi="Liberation Serif" w:cs="Arial"/>
          <w:sz w:val="24"/>
          <w:szCs w:val="24"/>
        </w:rPr>
        <w:footnoteReference w:id="5"/>
      </w:r>
    </w:p>
    <w:p w:rsidR="009370E5" w:rsidRDefault="009370E5">
      <w:pPr>
        <w:spacing w:line="276" w:lineRule="auto"/>
        <w:rPr>
          <w:szCs w:val="28"/>
          <w:u w:val="single"/>
        </w:rPr>
      </w:pPr>
    </w:p>
    <w:p w:rsidR="009370E5" w:rsidRDefault="00543EF0">
      <w:pPr>
        <w:rPr>
          <w:rFonts w:ascii="Liberation Serif" w:hAnsi="Liberation Serif"/>
          <w:sz w:val="24"/>
          <w:szCs w:val="24"/>
        </w:rPr>
      </w:pPr>
      <w:r>
        <w:rPr>
          <w:rFonts w:ascii="Liberation Serif" w:hAnsi="Liberation Serif"/>
          <w:sz w:val="24"/>
          <w:szCs w:val="24"/>
          <w:u w:val="single"/>
        </w:rPr>
        <w:t xml:space="preserve">Handelsagenda der Ampel vom 23. Juni 2022 und Eckpunktepapier der </w:t>
      </w:r>
      <w:r>
        <w:rPr>
          <w:rFonts w:ascii="Liberation Serif" w:hAnsi="Liberation Serif"/>
          <w:sz w:val="24"/>
          <w:szCs w:val="24"/>
          <w:u w:val="single"/>
        </w:rPr>
        <w:t>Bundesregierung vom 1. 7. 2022</w:t>
      </w:r>
    </w:p>
    <w:p w:rsidR="009370E5" w:rsidRDefault="009370E5">
      <w:pPr>
        <w:rPr>
          <w:rFonts w:ascii="Liberation Serif" w:hAnsi="Liberation Serif"/>
          <w:sz w:val="24"/>
          <w:szCs w:val="24"/>
          <w:u w:val="single"/>
        </w:rPr>
      </w:pPr>
    </w:p>
    <w:p w:rsidR="009370E5" w:rsidRDefault="00543EF0">
      <w:pPr>
        <w:rPr>
          <w:rFonts w:ascii="Liberation Serif" w:hAnsi="Liberation Serif"/>
          <w:sz w:val="24"/>
          <w:szCs w:val="24"/>
        </w:rPr>
      </w:pPr>
      <w:r>
        <w:rPr>
          <w:rFonts w:ascii="Liberation Serif" w:hAnsi="Liberation Serif"/>
          <w:sz w:val="24"/>
          <w:szCs w:val="24"/>
        </w:rPr>
        <w:t>Die Handelsagenda der Ampel vom 23 Juni 2022</w:t>
      </w:r>
      <w:r>
        <w:rPr>
          <w:rStyle w:val="Funotenanker"/>
          <w:rFonts w:ascii="Liberation Serif" w:hAnsi="Liberation Serif"/>
          <w:sz w:val="24"/>
          <w:szCs w:val="24"/>
        </w:rPr>
        <w:footnoteReference w:id="6"/>
      </w:r>
      <w:r>
        <w:rPr>
          <w:rFonts w:ascii="Liberation Serif" w:hAnsi="Liberation Serif"/>
          <w:sz w:val="24"/>
          <w:szCs w:val="24"/>
        </w:rPr>
        <w:t xml:space="preserve"> übernimmt in Bezug auf CETA die Forderungen und Formulierungen zur Stärkung des Europäischen Parlamentes bei der regulatorischen Kooperation und beim Investitionsschutz aus dem K</w:t>
      </w:r>
      <w:r>
        <w:rPr>
          <w:rFonts w:ascii="Liberation Serif" w:hAnsi="Liberation Serif"/>
          <w:sz w:val="24"/>
          <w:szCs w:val="24"/>
        </w:rPr>
        <w:t>oalitionsvertrag. Die Positionen zu CETA sind auch in dem weitgehend gleichlautenden am 1. 7. vom Kabinett verabschiedeten Eckpunktepapier der Bundesregierung enthalten.</w:t>
      </w:r>
      <w:r>
        <w:rPr>
          <w:rStyle w:val="Funotenanker"/>
          <w:rFonts w:ascii="Liberation Serif" w:hAnsi="Liberation Serif"/>
          <w:sz w:val="24"/>
          <w:szCs w:val="24"/>
        </w:rPr>
        <w:footnoteReference w:id="7"/>
      </w:r>
      <w:r>
        <w:rPr>
          <w:rFonts w:ascii="Liberation Serif" w:hAnsi="Liberation Serif"/>
          <w:sz w:val="24"/>
          <w:szCs w:val="24"/>
        </w:rPr>
        <w:t xml:space="preserve"> Dort wird die neue Handelspolitik der Bundesregierung skizziert.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 xml:space="preserve">Der zitierte Satz </w:t>
      </w:r>
      <w:r>
        <w:rPr>
          <w:rFonts w:ascii="Liberation Serif" w:hAnsi="Liberation Serif"/>
          <w:sz w:val="24"/>
          <w:szCs w:val="24"/>
        </w:rPr>
        <w:t>zum Investitionsschutz im Koalitionsvertrag (Rdn. 166) ist allgemein für „Investitionsabkommen“ formuliert. Die Frage ist, ob zu den dort angeführten „noch ausstehenden Abkommen“ auch CETA zählen soll, das bereits unterzeichnet, teilweise vorläufig in Kraf</w:t>
      </w:r>
      <w:r>
        <w:rPr>
          <w:rFonts w:ascii="Liberation Serif" w:hAnsi="Liberation Serif"/>
          <w:sz w:val="24"/>
          <w:szCs w:val="24"/>
        </w:rPr>
        <w:t>t aber noch nicht von allen Mitgliedstaaten ratifiziert ist. Dafür spricht, dass die Koalitionsvereinbarung (Handelsagenda) vom 23. Juni 2022 und das Eckpunktepapier der Bundesregierung vom 1. 7. 2022 wörtlich die Formulierung zum Investitionsschutz aus de</w:t>
      </w:r>
      <w:r>
        <w:rPr>
          <w:rFonts w:ascii="Liberation Serif" w:hAnsi="Liberation Serif"/>
          <w:sz w:val="24"/>
          <w:szCs w:val="24"/>
        </w:rPr>
        <w:t xml:space="preserve">m Koalitionsvertrag unter der Überschrift „CETA“ wiederholen.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Dann aber wird für die weitere konkrete Vorgehensweise bei CETA festgelegt: „</w:t>
      </w:r>
      <w:r>
        <w:rPr>
          <w:rFonts w:ascii="Liberation Serif" w:hAnsi="Liberation Serif" w:cs="Arial"/>
          <w:sz w:val="24"/>
          <w:szCs w:val="24"/>
        </w:rPr>
        <w:t>Die Bundesregierung verfolgt, im Sinne der oben genannten Kriterien zur Begrenzung der missbräuchlichen Anwendung d</w:t>
      </w:r>
      <w:r>
        <w:rPr>
          <w:rFonts w:ascii="Liberation Serif" w:hAnsi="Liberation Serif" w:cs="Arial"/>
          <w:sz w:val="24"/>
          <w:szCs w:val="24"/>
        </w:rPr>
        <w:t xml:space="preserve">er materiell-rechtlichen Schutzstandards und zur regulatorischen Kooperation, in Gesprächen auf EU-Ebene und mit der kanadischen Regierung eine Interpretationserklärung des Gemeinsamen CETA-Ausschusses, um damit die diesen Änderungen </w:t>
      </w:r>
      <w:r>
        <w:rPr>
          <w:rFonts w:ascii="Liberation Serif" w:hAnsi="Liberation Serif" w:cs="Arial"/>
          <w:sz w:val="24"/>
          <w:szCs w:val="24"/>
        </w:rPr>
        <w:lastRenderedPageBreak/>
        <w:t>nachfolgende abschließ</w:t>
      </w:r>
      <w:r>
        <w:rPr>
          <w:rFonts w:ascii="Liberation Serif" w:hAnsi="Liberation Serif" w:cs="Arial"/>
          <w:sz w:val="24"/>
          <w:szCs w:val="24"/>
        </w:rPr>
        <w:t>ende Ratifizierung im Herbst im Bundestag zu ermöglichen. Diese Lösung darf den gleichzeitig laufenden Ratifizierungsprozess in der EU nicht stoppen, sondern muss dessen Fortsetzung ermöglichen“. In einer Sitzung des sogenannten „gemeinsamen Komitees“ im H</w:t>
      </w:r>
      <w:r>
        <w:rPr>
          <w:rFonts w:ascii="Liberation Serif" w:hAnsi="Liberation Serif" w:cs="Arial"/>
          <w:sz w:val="24"/>
          <w:szCs w:val="24"/>
        </w:rPr>
        <w:t>erbst 2022, soll die Interpretationserklärung konsentiert werden.</w:t>
      </w:r>
      <w:r>
        <w:rPr>
          <w:rStyle w:val="Funotenanker"/>
          <w:rFonts w:ascii="Liberation Serif" w:hAnsi="Liberation Serif" w:cs="Arial"/>
          <w:sz w:val="24"/>
          <w:szCs w:val="24"/>
        </w:rPr>
        <w:footnoteReference w:id="8"/>
      </w:r>
      <w:r>
        <w:rPr>
          <w:rFonts w:ascii="Liberation Serif" w:hAnsi="Liberation Serif" w:cs="Arial"/>
          <w:sz w:val="24"/>
          <w:szCs w:val="24"/>
        </w:rPr>
        <w:t xml:space="preserve">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cs="Arial"/>
          <w:sz w:val="24"/>
          <w:szCs w:val="24"/>
        </w:rPr>
        <w:t xml:space="preserve">Die Koalitionsvereinbarung (Handelsagenda) vom 23. Juni 2022 und das Eckpunktepapier der Bundesregierung vom 1. 7. 2022 sprechen jetzt nur noch von einer „Begrenzung der missbräuchlichen </w:t>
      </w:r>
      <w:r>
        <w:rPr>
          <w:rFonts w:ascii="Liberation Serif" w:hAnsi="Liberation Serif" w:cs="Arial"/>
          <w:sz w:val="24"/>
          <w:szCs w:val="24"/>
        </w:rPr>
        <w:t xml:space="preserve">Anwendung der materiell-rechtlichen Schutzstandards“. Das ist eine Formulierung die gegenüber dem Koalitionsvertrag deutlich abgeschwächt ist.  </w:t>
      </w:r>
    </w:p>
    <w:p w:rsidR="009370E5" w:rsidRDefault="009370E5">
      <w:pPr>
        <w:rPr>
          <w:rFonts w:ascii="Liberation Serif" w:hAnsi="Liberation Serif" w:cs="Arial"/>
          <w:sz w:val="24"/>
          <w:szCs w:val="24"/>
        </w:rPr>
      </w:pPr>
    </w:p>
    <w:p w:rsidR="009370E5" w:rsidRDefault="00543EF0">
      <w:pPr>
        <w:rPr>
          <w:rFonts w:ascii="Liberation Serif" w:hAnsi="Liberation Serif"/>
          <w:sz w:val="24"/>
          <w:szCs w:val="24"/>
        </w:rPr>
      </w:pPr>
      <w:r>
        <w:rPr>
          <w:rFonts w:ascii="Liberation Serif" w:hAnsi="Liberation Serif" w:cs="Arial"/>
          <w:sz w:val="24"/>
          <w:szCs w:val="24"/>
          <w:u w:val="single"/>
        </w:rPr>
        <w:t xml:space="preserve">Entwurf eines Ratifizierungsgesetzes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cs="Arial"/>
          <w:sz w:val="24"/>
          <w:szCs w:val="24"/>
        </w:rPr>
        <w:t>Im Gesetzentwurf der Bundesregierung zur Ratifizierung von CETA, der am</w:t>
      </w:r>
      <w:r>
        <w:rPr>
          <w:rFonts w:ascii="Liberation Serif" w:hAnsi="Liberation Serif" w:cs="Arial"/>
          <w:sz w:val="24"/>
          <w:szCs w:val="24"/>
        </w:rPr>
        <w:t xml:space="preserve"> 1. 7. im Kabinett beschlossen wurde, findet sich in der Schlussbemerkung die abgeschwächte Formulierung wieder: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cs="Arial"/>
          <w:sz w:val="24"/>
          <w:szCs w:val="24"/>
        </w:rPr>
        <w:t xml:space="preserve">„Im Einklang mit den Zielsetzungen des Koalitionsvertrages setzt sich die Bundesregierung unverzüglich dafür ein, gemeinsam mit den Partnern </w:t>
      </w:r>
      <w:r>
        <w:rPr>
          <w:rFonts w:ascii="Liberation Serif" w:hAnsi="Liberation Serif" w:cs="Arial"/>
          <w:sz w:val="24"/>
          <w:szCs w:val="24"/>
        </w:rPr>
        <w:t>des Abkommens im Wege einer bindenden Auslegung von materiell-rechtlichen Investitionsschutzstandards in CETA eine missbräuchliche Anwendung dieser Standards wirksam zu begrenzen. Ferner wird sich die Bundesregierung für eine Stärkung der Rolle des Europäi</w:t>
      </w:r>
      <w:r>
        <w:rPr>
          <w:rFonts w:ascii="Liberation Serif" w:hAnsi="Liberation Serif" w:cs="Arial"/>
          <w:sz w:val="24"/>
          <w:szCs w:val="24"/>
        </w:rPr>
        <w:t>schen Parlamentes im Rahmen der regulatorischen Kooperation einsetzen. Ergänzend ist im Lichte der Rechtsprechung des Bundesverfassungsgerichts zu CETA außerdem vorgesehen, das bereits im Rahmen der vorläufigen Anwendung von CETA klargestellte Einstimmigke</w:t>
      </w:r>
      <w:r>
        <w:rPr>
          <w:rFonts w:ascii="Liberation Serif" w:hAnsi="Liberation Serif" w:cs="Arial"/>
          <w:sz w:val="24"/>
          <w:szCs w:val="24"/>
        </w:rPr>
        <w:t>itserfordernis der EU-Mitgliedstaaten im Zusammenhang mit bestimmten Beschlüssen des Gemischte</w:t>
      </w:r>
      <w:bookmarkStart w:id="6" w:name="page9R_mcid0"/>
      <w:bookmarkEnd w:id="6"/>
      <w:r>
        <w:rPr>
          <w:rFonts w:ascii="Liberation Serif" w:hAnsi="Liberation Serif" w:cs="Arial"/>
          <w:sz w:val="24"/>
          <w:szCs w:val="24"/>
        </w:rPr>
        <w:t>n CETA-Ausschusses durch Protokollerklärung auch für die Zeit ab dem Inkrafttreten des Abkommens zu verankern“.</w:t>
      </w:r>
      <w:r>
        <w:rPr>
          <w:rStyle w:val="Funotenanker"/>
          <w:rFonts w:ascii="Liberation Serif" w:hAnsi="Liberation Serif" w:cs="Arial"/>
          <w:sz w:val="24"/>
          <w:szCs w:val="24"/>
        </w:rPr>
        <w:footnoteReference w:id="9"/>
      </w:r>
    </w:p>
    <w:p w:rsidR="009370E5" w:rsidRDefault="009370E5">
      <w:pPr>
        <w:rPr>
          <w:rFonts w:ascii="Liberation Serif" w:hAnsi="Liberation Serif" w:cs="Arial"/>
          <w:sz w:val="24"/>
          <w:szCs w:val="24"/>
        </w:rPr>
      </w:pPr>
    </w:p>
    <w:p w:rsidR="009370E5" w:rsidRDefault="00543EF0">
      <w:pPr>
        <w:rPr>
          <w:rFonts w:ascii="Liberation Serif" w:hAnsi="Liberation Serif"/>
          <w:sz w:val="24"/>
          <w:szCs w:val="24"/>
        </w:rPr>
      </w:pPr>
      <w:r>
        <w:rPr>
          <w:rFonts w:ascii="Liberation Serif" w:hAnsi="Liberation Serif" w:cs="Arial"/>
          <w:sz w:val="24"/>
          <w:szCs w:val="24"/>
          <w:u w:val="single"/>
        </w:rPr>
        <w:t>Erste Lesung im Bundestag</w:t>
      </w:r>
    </w:p>
    <w:p w:rsidR="009370E5" w:rsidRDefault="009370E5">
      <w:pPr>
        <w:rPr>
          <w:rFonts w:ascii="Liberation Serif" w:hAnsi="Liberation Serif"/>
          <w:sz w:val="24"/>
          <w:szCs w:val="24"/>
          <w:u w:val="single"/>
        </w:rPr>
      </w:pPr>
    </w:p>
    <w:p w:rsidR="009370E5" w:rsidRDefault="00543EF0">
      <w:pPr>
        <w:rPr>
          <w:rFonts w:ascii="Liberation Serif" w:hAnsi="Liberation Serif"/>
          <w:sz w:val="24"/>
          <w:szCs w:val="24"/>
        </w:rPr>
      </w:pPr>
      <w:r>
        <w:rPr>
          <w:rFonts w:ascii="Liberation Serif" w:hAnsi="Liberation Serif" w:cs="Arial"/>
          <w:sz w:val="24"/>
          <w:szCs w:val="24"/>
        </w:rPr>
        <w:t>Bereits in der letzte</w:t>
      </w:r>
      <w:r>
        <w:rPr>
          <w:rFonts w:ascii="Liberation Serif" w:hAnsi="Liberation Serif" w:cs="Arial"/>
          <w:sz w:val="24"/>
          <w:szCs w:val="24"/>
        </w:rPr>
        <w:t>n Legislaturperiode, am 6. 11. 2019, hatte die damals oppositionelle Fraktion der FDP im Bundestag einen Antrag zur Ratifizierung von CETA vorgelegt.</w:t>
      </w:r>
      <w:r>
        <w:rPr>
          <w:rStyle w:val="Funotenanker"/>
          <w:rFonts w:ascii="Liberation Serif" w:hAnsi="Liberation Serif" w:cs="Arial"/>
          <w:sz w:val="24"/>
          <w:szCs w:val="24"/>
        </w:rPr>
        <w:footnoteReference w:id="10"/>
      </w:r>
      <w:r>
        <w:rPr>
          <w:rFonts w:ascii="Liberation Serif" w:hAnsi="Liberation Serif" w:cs="Arial"/>
          <w:sz w:val="24"/>
          <w:szCs w:val="24"/>
        </w:rPr>
        <w:t xml:space="preserve"> Das hat nun ebenfalls die Fraktion der CDU/CSU am 15. 3 2022 getan. Die ursprünglich angedachte Abstimmun</w:t>
      </w:r>
      <w:r>
        <w:rPr>
          <w:rFonts w:ascii="Liberation Serif" w:hAnsi="Liberation Serif" w:cs="Arial"/>
          <w:sz w:val="24"/>
          <w:szCs w:val="24"/>
        </w:rPr>
        <w:t>g im Plenum am 23. Juni darüber hat der Bundestag abgesetzt.</w:t>
      </w:r>
      <w:r>
        <w:rPr>
          <w:rStyle w:val="Funotenanker"/>
          <w:rFonts w:ascii="Liberation Serif" w:hAnsi="Liberation Serif" w:cs="Arial"/>
          <w:sz w:val="24"/>
          <w:szCs w:val="24"/>
        </w:rPr>
        <w:footnoteReference w:id="11"/>
      </w:r>
      <w:r>
        <w:rPr>
          <w:rFonts w:ascii="Liberation Serif" w:hAnsi="Liberation Serif" w:cs="Arial"/>
          <w:sz w:val="24"/>
          <w:szCs w:val="24"/>
        </w:rPr>
        <w:t xml:space="preserve"> </w:t>
      </w:r>
    </w:p>
    <w:p w:rsidR="009370E5" w:rsidRDefault="009370E5">
      <w:pPr>
        <w:rPr>
          <w:rFonts w:ascii="Liberation Serif" w:hAnsi="Liberation Serif"/>
          <w:sz w:val="24"/>
          <w:szCs w:val="24"/>
          <w:u w:val="single"/>
        </w:rPr>
      </w:pPr>
    </w:p>
    <w:p w:rsidR="009370E5" w:rsidRDefault="00543EF0">
      <w:pPr>
        <w:rPr>
          <w:rFonts w:ascii="Liberation Serif" w:hAnsi="Liberation Serif"/>
          <w:sz w:val="24"/>
          <w:szCs w:val="24"/>
        </w:rPr>
      </w:pPr>
      <w:r>
        <w:rPr>
          <w:rFonts w:ascii="Liberation Serif" w:hAnsi="Liberation Serif" w:cs="Arial"/>
          <w:sz w:val="24"/>
          <w:szCs w:val="24"/>
        </w:rPr>
        <w:t>Der Regierungsentwurf des CETA-Ratifizierungsgesetzes wurde im Bundestag am Donnerstag, 7. 7. 2022, erstmals gelesen. Nach 40-minütiger Debatte wurde der Entwurf an die Ausschüsse zur weiteren</w:t>
      </w:r>
      <w:r>
        <w:rPr>
          <w:rFonts w:ascii="Liberation Serif" w:hAnsi="Liberation Serif" w:cs="Arial"/>
          <w:sz w:val="24"/>
          <w:szCs w:val="24"/>
        </w:rPr>
        <w:t xml:space="preserve"> Beratung verwiesen. Die Federführung hat der Wirtschaftsausschuss.</w:t>
      </w:r>
    </w:p>
    <w:p w:rsidR="009370E5" w:rsidRDefault="009370E5">
      <w:pPr>
        <w:rPr>
          <w:rFonts w:ascii="Liberation Serif" w:hAnsi="Liberation Serif" w:cs="Arial"/>
          <w:sz w:val="24"/>
          <w:szCs w:val="24"/>
        </w:rPr>
      </w:pPr>
    </w:p>
    <w:p w:rsidR="009370E5" w:rsidRDefault="00543EF0">
      <w:pPr>
        <w:rPr>
          <w:rFonts w:ascii="Liberation Serif" w:hAnsi="Liberation Serif"/>
          <w:sz w:val="24"/>
          <w:szCs w:val="24"/>
        </w:rPr>
      </w:pPr>
      <w:r>
        <w:rPr>
          <w:rFonts w:ascii="Liberation Serif" w:hAnsi="Liberation Serif" w:cs="Arial"/>
          <w:sz w:val="24"/>
          <w:szCs w:val="24"/>
        </w:rPr>
        <w:lastRenderedPageBreak/>
        <w:t xml:space="preserve">Von der Tagesordnung abgesetzt wurden erneut der Gesetzentwurf der Unionsfraktion zum CETA-Abkommen und ein Antrag dieser Fraktion mit dem Titel „Europas Wettbewerbsfähigkeit erhalten – </w:t>
      </w:r>
      <w:r>
        <w:rPr>
          <w:rFonts w:ascii="Liberation Serif" w:hAnsi="Liberation Serif" w:cs="Arial"/>
          <w:sz w:val="24"/>
          <w:szCs w:val="24"/>
        </w:rPr>
        <w:t>die wirtschafts- und handelspolitischen Beziehungen im atlantischen Raum stärken“. Die Unionsfraktion fordert, CETA „schnellstmöglich“ zu ratifizieren und für die vollständige Ratifizierung und Anwendung des Assoziierungsabkommens der EU mit dem südamerika</w:t>
      </w:r>
      <w:r>
        <w:rPr>
          <w:rFonts w:ascii="Liberation Serif" w:hAnsi="Liberation Serif" w:cs="Arial"/>
          <w:sz w:val="24"/>
          <w:szCs w:val="24"/>
        </w:rPr>
        <w:t>nischen Mercosur-Binnenmarkt einzutreten.</w:t>
      </w:r>
      <w:r>
        <w:rPr>
          <w:rStyle w:val="Funotenanker"/>
          <w:rFonts w:ascii="Liberation Serif" w:hAnsi="Liberation Serif" w:cs="Arial"/>
          <w:sz w:val="24"/>
          <w:szCs w:val="24"/>
        </w:rPr>
        <w:footnoteReference w:id="12"/>
      </w:r>
      <w:r>
        <w:rPr>
          <w:rFonts w:ascii="Liberation Serif" w:hAnsi="Liberation Serif" w:cs="Arial"/>
          <w:sz w:val="24"/>
          <w:szCs w:val="24"/>
        </w:rPr>
        <w:t xml:space="preserve"> </w:t>
      </w:r>
    </w:p>
    <w:p w:rsidR="009370E5" w:rsidRDefault="009370E5">
      <w:pPr>
        <w:rPr>
          <w:rFonts w:ascii="Liberation Serif" w:hAnsi="Liberation Serif" w:cs="Arial"/>
          <w:sz w:val="24"/>
          <w:szCs w:val="24"/>
        </w:rPr>
      </w:pPr>
    </w:p>
    <w:p w:rsidR="009370E5" w:rsidRDefault="00543EF0">
      <w:pPr>
        <w:rPr>
          <w:rFonts w:ascii="Liberation Serif" w:hAnsi="Liberation Serif"/>
          <w:sz w:val="24"/>
          <w:szCs w:val="24"/>
        </w:rPr>
      </w:pPr>
      <w:r>
        <w:rPr>
          <w:rFonts w:ascii="Liberation Serif" w:hAnsi="Liberation Serif" w:cs="Arial"/>
          <w:sz w:val="24"/>
          <w:szCs w:val="24"/>
        </w:rPr>
        <w:t>Auf dem Wirtschaftstag des Wirtschaftsrates der CDU am 31. Mai 2022 hat Friedrich Merz dargelegt, dass die Union die Ampel-Parteien dazu drängen würde, das Freihandelsabkommen mit Kanada (CETA) zur Abstimmung im</w:t>
      </w:r>
      <w:r>
        <w:rPr>
          <w:rFonts w:ascii="Liberation Serif" w:hAnsi="Liberation Serif" w:cs="Arial"/>
          <w:sz w:val="24"/>
          <w:szCs w:val="24"/>
        </w:rPr>
        <w:t xml:space="preserve"> Bundestag zu stellen. Doch die Grünen würden blockieren. Das sei an Widersprüchlichkeit kaum zu überbieten. Mit welchem Land wolle Deutschland denn überhaupt noch handeln, wenn nicht mal mit einem liberalen Staat wie Kanada.</w:t>
      </w:r>
      <w:r>
        <w:rPr>
          <w:rStyle w:val="Funotenanker"/>
          <w:rFonts w:ascii="Liberation Serif" w:hAnsi="Liberation Serif" w:cs="Arial"/>
          <w:sz w:val="24"/>
          <w:szCs w:val="24"/>
        </w:rPr>
        <w:footnoteReference w:id="13"/>
      </w:r>
      <w:r>
        <w:rPr>
          <w:rFonts w:ascii="Liberation Serif" w:hAnsi="Liberation Serif" w:cs="Arial"/>
          <w:sz w:val="24"/>
          <w:szCs w:val="24"/>
        </w:rPr>
        <w:t xml:space="preserve"> </w:t>
      </w:r>
    </w:p>
    <w:p w:rsidR="009370E5" w:rsidRDefault="009370E5">
      <w:pPr>
        <w:rPr>
          <w:rFonts w:ascii="Liberation Serif" w:hAnsi="Liberation Serif" w:cs="Arial"/>
          <w:sz w:val="24"/>
          <w:szCs w:val="24"/>
        </w:rPr>
      </w:pPr>
    </w:p>
    <w:p w:rsidR="009370E5" w:rsidRDefault="00543EF0">
      <w:pPr>
        <w:rPr>
          <w:rFonts w:ascii="Liberation Serif" w:hAnsi="Liberation Serif"/>
          <w:sz w:val="24"/>
          <w:szCs w:val="24"/>
        </w:rPr>
      </w:pPr>
      <w:r>
        <w:rPr>
          <w:rFonts w:ascii="Liberation Serif" w:hAnsi="Liberation Serif" w:cs="Arial"/>
          <w:sz w:val="24"/>
          <w:szCs w:val="24"/>
        </w:rPr>
        <w:t>Der Druck der Union, aber a</w:t>
      </w:r>
      <w:r>
        <w:rPr>
          <w:rFonts w:ascii="Liberation Serif" w:hAnsi="Liberation Serif" w:cs="Arial"/>
          <w:sz w:val="24"/>
          <w:szCs w:val="24"/>
        </w:rPr>
        <w:t xml:space="preserve">uch der FDP ist angekommen: </w:t>
      </w:r>
    </w:p>
    <w:p w:rsidR="009370E5" w:rsidRDefault="009370E5">
      <w:pPr>
        <w:rPr>
          <w:rFonts w:ascii="Liberation Serif" w:hAnsi="Liberation Serif" w:cs="Arial"/>
          <w:sz w:val="24"/>
          <w:szCs w:val="24"/>
        </w:rPr>
      </w:pPr>
    </w:p>
    <w:p w:rsidR="009370E5" w:rsidRDefault="00543EF0">
      <w:pPr>
        <w:rPr>
          <w:rFonts w:ascii="Liberation Serif" w:hAnsi="Liberation Serif"/>
          <w:sz w:val="24"/>
          <w:szCs w:val="24"/>
        </w:rPr>
      </w:pPr>
      <w:r>
        <w:rPr>
          <w:rFonts w:ascii="Liberation Serif" w:hAnsi="Liberation Serif" w:cs="Arial"/>
          <w:sz w:val="24"/>
          <w:szCs w:val="24"/>
        </w:rPr>
        <w:t>SPD-MdB Markus Töns hat in der Plenardebatte am 7. 7. bekräftigt: „Ich kann Ihnen nur sagen: Wir werden CETA ratifizieren. Wir bringen es heute ein, dann werden wir in die Ausschussdebatte gehen. Wir werden uns darüber unterha</w:t>
      </w:r>
      <w:r>
        <w:rPr>
          <w:rFonts w:ascii="Liberation Serif" w:hAnsi="Liberation Serif" w:cs="Arial"/>
          <w:sz w:val="24"/>
          <w:szCs w:val="24"/>
        </w:rPr>
        <w:t>lten und am Ende wird CETA in diesem Jahr ratifiziert. Darauf können Sie sich verlassen.“</w:t>
      </w:r>
    </w:p>
    <w:p w:rsidR="009370E5" w:rsidRDefault="009370E5">
      <w:pPr>
        <w:rPr>
          <w:rFonts w:ascii="Liberation Serif" w:hAnsi="Liberation Serif" w:cs="Arial"/>
          <w:sz w:val="24"/>
          <w:szCs w:val="24"/>
        </w:rPr>
      </w:pPr>
    </w:p>
    <w:p w:rsidR="009370E5" w:rsidRDefault="00543EF0">
      <w:pPr>
        <w:rPr>
          <w:rFonts w:ascii="Liberation Serif" w:hAnsi="Liberation Serif"/>
          <w:sz w:val="24"/>
          <w:szCs w:val="24"/>
        </w:rPr>
      </w:pPr>
      <w:r>
        <w:rPr>
          <w:rFonts w:ascii="Liberation Serif" w:hAnsi="Liberation Serif" w:cs="Arial"/>
          <w:sz w:val="24"/>
          <w:szCs w:val="24"/>
        </w:rPr>
        <w:t xml:space="preserve">Und zur letzten Legislaturperiode: </w:t>
      </w:r>
      <w:r>
        <w:rPr>
          <w:rFonts w:ascii="Liberation Serif" w:hAnsi="Liberation Serif"/>
          <w:sz w:val="24"/>
          <w:szCs w:val="24"/>
        </w:rPr>
        <w:t xml:space="preserve">„Wir alle wissen doch, … dass wir das Abkommen in der letzten Legislaturperiode, weil wir auf das Verfassungsgericht gewartet </w:t>
      </w:r>
      <w:r>
        <w:rPr>
          <w:rFonts w:ascii="Liberation Serif" w:hAnsi="Liberation Serif"/>
          <w:sz w:val="24"/>
          <w:szCs w:val="24"/>
        </w:rPr>
        <w:t>haben, nicht ratifiziert haben. Wenn das Verfassungsgericht früher entschieden hätte, was es nicht getan hat, weil es etwas länger gebraucht hat, dann hätten wir das in der letzten Legislaturperiode auch ratifiziert.“</w:t>
      </w:r>
      <w:r>
        <w:rPr>
          <w:rStyle w:val="Funotenanker"/>
          <w:rFonts w:ascii="Liberation Serif" w:hAnsi="Liberation Serif"/>
          <w:sz w:val="24"/>
          <w:szCs w:val="24"/>
        </w:rPr>
        <w:footnoteReference w:id="14"/>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In der letzten Legislaturperiode hat</w:t>
      </w:r>
      <w:r>
        <w:rPr>
          <w:rFonts w:ascii="Liberation Serif" w:hAnsi="Liberation Serif"/>
          <w:sz w:val="24"/>
          <w:szCs w:val="24"/>
        </w:rPr>
        <w:t>te sich in der Tat die Große Koalition in ihrem Koalitionsvertrag darauf verständigt, CETA zu ratifizieren.</w:t>
      </w:r>
      <w:r>
        <w:rPr>
          <w:rStyle w:val="Funotenanker"/>
          <w:rFonts w:ascii="Liberation Serif" w:hAnsi="Liberation Serif"/>
          <w:sz w:val="24"/>
          <w:szCs w:val="24"/>
        </w:rPr>
        <w:footnoteReference w:id="15"/>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 xml:space="preserve">Festzuhalten ist: Der Zeitpunkt einer Ratifizierung ist vor allem eine politische Frage. Auch bei Abkommen, die vorläufig angewendet werden, gibt </w:t>
      </w:r>
      <w:r>
        <w:rPr>
          <w:rFonts w:ascii="Liberation Serif" w:hAnsi="Liberation Serif"/>
          <w:sz w:val="24"/>
          <w:szCs w:val="24"/>
        </w:rPr>
        <w:t>es keine zwingenden rechtlichen Vorgaben zu einer möglichst umgehenden Ratifikation.</w:t>
      </w:r>
      <w:r>
        <w:rPr>
          <w:rStyle w:val="Funotenanker"/>
          <w:rFonts w:ascii="Liberation Serif" w:hAnsi="Liberation Serif"/>
          <w:sz w:val="24"/>
          <w:szCs w:val="24"/>
        </w:rPr>
        <w:footnoteReference w:id="16"/>
      </w:r>
      <w:r>
        <w:rPr>
          <w:rFonts w:ascii="Liberation Serif" w:hAnsi="Liberation Serif"/>
          <w:sz w:val="24"/>
          <w:szCs w:val="24"/>
        </w:rPr>
        <w:t xml:space="preserve"> </w:t>
      </w:r>
    </w:p>
    <w:p w:rsidR="009370E5" w:rsidRDefault="00543EF0">
      <w:pPr>
        <w:pStyle w:val="StandardWeb"/>
        <w:rPr>
          <w:u w:val="single"/>
        </w:rPr>
      </w:pPr>
      <w:r>
        <w:rPr>
          <w:u w:val="single"/>
        </w:rPr>
        <w:lastRenderedPageBreak/>
        <w:t xml:space="preserve">Probleme der angestrebten Interpretationserklärung </w:t>
      </w:r>
    </w:p>
    <w:p w:rsidR="009370E5" w:rsidRDefault="00543EF0">
      <w:pPr>
        <w:pStyle w:val="StandardWeb"/>
      </w:pPr>
      <w:r>
        <w:t>1. Die Bundesregierung setzt sich selbst unter Druck. Laut dem Eckpunktepapier vom 1. 7. darf der Ratifizierungszeitp</w:t>
      </w:r>
      <w:r>
        <w:t xml:space="preserve">unkt im Herbst nicht gefährdet und der weitere Ratifizierungsprozess in der EU nicht gestoppt werden. Diese Bedingungen führen dazu, dass nicht gründlich und hartnäckig verhandelt werden kann, sondern schnelle Ergebnisse erforderlich sind. </w:t>
      </w:r>
    </w:p>
    <w:p w:rsidR="009370E5" w:rsidRDefault="00543EF0">
      <w:pPr>
        <w:pStyle w:val="StandardWeb"/>
      </w:pPr>
      <w:r>
        <w:t>2. Die Interpre</w:t>
      </w:r>
      <w:r>
        <w:t>tationserklärung muss schließlich mit Kanada, 26 anderen EU-Mitgliedstaaten und der Europäischen Kommission abgestimmt werden. Bei der erforderlichen Kompromissbildung in der kurzen Zeit sind eine Verwässerung selbst der reduzierten Anliegen der Bundesregi</w:t>
      </w:r>
      <w:r>
        <w:t>erung sowie vieldeutige, abstrakte Formelkompromisse wahrscheinlich.</w:t>
      </w:r>
    </w:p>
    <w:p w:rsidR="009370E5" w:rsidRDefault="00543EF0">
      <w:pPr>
        <w:pStyle w:val="StandardWeb"/>
      </w:pPr>
      <w:r>
        <w:t>3. Die rechtliche Relevanz von Auslegungserklärungen ist begrenzt. Sie sind keine völkerrechtliche Vereinbarungen mit Protokolleigenschaften und können sich nicht ohne Weiteres gegen eine</w:t>
      </w:r>
      <w:r>
        <w:t xml:space="preserve">n anderslautenden Wortlaut durchsetzen. Nach §31 Abs. 1 und 2a des Wiener Abkommens über das Recht der Verträge (das für die EU nach dem inhaltsgleichen Völkergewohnheitsrecht gilt) sind diese im Zusammenhang ihrer Bestimmungen, dem Wortlaut und nach Ziel </w:t>
      </w:r>
      <w:r>
        <w:t>und Zweck auszulegen. Im Kontext des Zusammenhangs der Vertragsbestimmungen sind dann auch Auslegungserklärungen heranzuziehen</w:t>
      </w:r>
      <w:r>
        <w:rPr>
          <w:rStyle w:val="Funotenanker"/>
        </w:rPr>
        <w:footnoteReference w:id="17"/>
      </w:r>
      <w:r>
        <w:t xml:space="preserve"> Auch der Council of Canada kommt zu dem Ergebnis, dass das die Auslegungserklärung zu CETA aus 2016, das „Gemeinsame Auslegungsi</w:t>
      </w:r>
      <w:r>
        <w:t>nstrument“, auf tönernen Füßen steht,</w:t>
      </w:r>
      <w:r>
        <w:rPr>
          <w:rFonts w:ascii="Liberation Serif" w:hAnsi="Liberation Serif"/>
        </w:rPr>
        <w:t xml:space="preserve"> nur im Kontext des Vertrages gelesen und keine substanziellen Vertragsänderungen bewirken kann.</w:t>
      </w:r>
      <w:r>
        <w:rPr>
          <w:rStyle w:val="Funotenanker"/>
          <w:rFonts w:ascii="Liberation Serif" w:hAnsi="Liberation Serif"/>
        </w:rPr>
        <w:footnoteReference w:id="18"/>
      </w:r>
      <w:r>
        <w:rPr>
          <w:rFonts w:ascii="Liberation Serif" w:hAnsi="Liberation Serif"/>
        </w:rPr>
        <w:t xml:space="preserve"> </w:t>
      </w:r>
    </w:p>
    <w:p w:rsidR="009370E5" w:rsidRDefault="00543EF0">
      <w:pPr>
        <w:pStyle w:val="StandardWeb"/>
      </w:pPr>
      <w:r>
        <w:t>4. Eine modifizierte Rechtslage ergibt sich, wenn der Gemischte CETA-Ausschuss einen Beschluss zur Vertragsauslegung fas</w:t>
      </w:r>
      <w:r>
        <w:t xml:space="preserve">st. Der Gemeinsame CETA-Ausschuss ist das zur Vertragsauslegung befugte Gremium. Seine Beschlüsse sind verbindlich. </w:t>
      </w:r>
      <w:bookmarkStart w:id="15" w:name="page7R_mcid8"/>
      <w:bookmarkEnd w:id="15"/>
      <w:r>
        <w:t>„</w:t>
      </w:r>
      <w:r>
        <w:rPr>
          <w:rFonts w:ascii="Liberation Serif" w:hAnsi="Liberation Serif"/>
        </w:rPr>
        <w:t xml:space="preserve">Nach Artikel 26.3 des Abkommens ist der Gemischte CETA-Ausschuss befugt, einvernehmliche Beschlüsse in allen Angelegenheiten zu fassen, in </w:t>
      </w:r>
      <w:r>
        <w:rPr>
          <w:rFonts w:ascii="Liberation Serif" w:hAnsi="Liberation Serif"/>
        </w:rPr>
        <w:t>denen das Abkommen dies vorsieht. Die Beschlüsse des Gemischten CETA-Ausschusses sind für die Vertragsparteien - vorbehaltlich der Erfüllung etwaiger interner Anforderungen und des</w:t>
      </w:r>
      <w:r>
        <w:rPr>
          <w:rFonts w:ascii="Liberation Serif" w:hAnsi="Liberation Serif"/>
          <w:sz w:val="20"/>
          <w:szCs w:val="20"/>
        </w:rPr>
        <w:t xml:space="preserve"> </w:t>
      </w:r>
      <w:r>
        <w:rPr>
          <w:rFonts w:ascii="Liberation Serif" w:hAnsi="Liberation Serif"/>
        </w:rPr>
        <w:t>Abschlusses etwaiger interner Verfahren - bindend und von ihnen umzusetzen.</w:t>
      </w:r>
      <w:r>
        <w:rPr>
          <w:rFonts w:ascii="Liberation Serif" w:hAnsi="Liberation Serif"/>
        </w:rPr>
        <w:t>“</w:t>
      </w:r>
      <w:r>
        <w:rPr>
          <w:rStyle w:val="Funotenanker"/>
          <w:rFonts w:ascii="Liberation Serif" w:hAnsi="Liberation Serif"/>
        </w:rPr>
        <w:footnoteReference w:id="19"/>
      </w:r>
      <w:r>
        <w:t xml:space="preserve"> Wenn der Gemischte CETA-Ausschuss die Anliegen der Bundesregierung aufgreift, so muss er dabei aber auch Art. 31. des Wiener Abkommens über das Recht der Verträge beachten. Er muss sich in dem vorgegebenen Vertragsrahmen bewegen. Sein Spielraum zu Vertr</w:t>
      </w:r>
      <w:r>
        <w:t>agsänderungen ist begrenzt. Es ist fraglich, ob dieser Spielraum ausreicht, um den Anliegen der Ampel entgegenzukommen. Der begrenzte Auslegungsspielraum des Gemischten CETA-Ausschusses könnte  aber der Grund für die gegenüber dem Ampel-Koalitionsvertrag a</w:t>
      </w:r>
      <w:r>
        <w:t xml:space="preserve">bgeschwächte Formulierung im Kabinettsbeschluss sein (etwa „begrenzen“ anstatt „verhindern“). </w:t>
      </w:r>
      <w:r>
        <w:rPr>
          <w:rFonts w:ascii="Liberation Serif" w:hAnsi="Liberation Serif"/>
        </w:rPr>
        <w:t xml:space="preserve">Die Nichtanwendung etwa des Investitionsschutzstandards der gerechten </w:t>
      </w:r>
      <w:r>
        <w:rPr>
          <w:rFonts w:ascii="Liberation Serif" w:hAnsi="Liberation Serif"/>
        </w:rPr>
        <w:lastRenderedPageBreak/>
        <w:t xml:space="preserve">und billigen Behandlung etwa wäre durch eine Interpretationserklärung von vorneherein nicht </w:t>
      </w:r>
      <w:r>
        <w:rPr>
          <w:rFonts w:ascii="Liberation Serif" w:hAnsi="Liberation Serif"/>
        </w:rPr>
        <w:t>zu erreichen.</w:t>
      </w:r>
      <w:r>
        <w:rPr>
          <w:rStyle w:val="Funotenanker"/>
          <w:rFonts w:ascii="Liberation Serif" w:hAnsi="Liberation Serif"/>
        </w:rPr>
        <w:footnoteReference w:id="20"/>
      </w:r>
    </w:p>
    <w:p w:rsidR="009370E5" w:rsidRDefault="00543EF0">
      <w:pPr>
        <w:pStyle w:val="StandardWeb"/>
      </w:pPr>
      <w:r>
        <w:t xml:space="preserve">5. Auch stellt sich die Frage, welchen Bestand die Auslegungserklärung in mittel- und langfristiger Perspektive hat. So heißt es etwa in </w:t>
      </w:r>
      <w:r>
        <w:rPr>
          <w:rFonts w:ascii="Liberation Serif" w:hAnsi="Liberation Serif"/>
          <w:sz w:val="23"/>
        </w:rPr>
        <w:t>Art. 8.10 Abs. 3 CETA-Vertrag:</w:t>
      </w:r>
      <w:bookmarkStart w:id="17" w:name="page103R_mcid0"/>
      <w:bookmarkEnd w:id="17"/>
      <w:r>
        <w:rPr>
          <w:rFonts w:ascii="sans-serif" w:hAnsi="sans-serif"/>
          <w:sz w:val="23"/>
        </w:rPr>
        <w:t xml:space="preserve"> </w:t>
      </w:r>
      <w:r>
        <w:rPr>
          <w:rFonts w:ascii="Liberation Serif" w:hAnsi="Liberation Serif"/>
        </w:rPr>
        <w:t xml:space="preserve">„Die Vertragsparteien überprüfen regelmäßig oder auf Ersuchen einer Vertragspartei den Inhalt der Verpflichtung zur gerechten und billigen Behandlung. Der nach Artikel 26.2 (Sonderausschüsse) Absatz 1 Buchstabe b eingesetzte Ausschuss für Dienstleistungen </w:t>
      </w:r>
      <w:r>
        <w:rPr>
          <w:rFonts w:ascii="Liberation Serif" w:hAnsi="Liberation Serif"/>
        </w:rPr>
        <w:t>und Investitionen kann diesbezügliche Empfehlungen erarbeiten und sie dem Gemischten CETA-Ausschuss zur Beschlussfassung vorlegen.“ CETA bleibt mittel- und langfristig gefährlich, auch wenn die zu treffende Auslegungserklärung wirklich eine Verbesserung br</w:t>
      </w:r>
      <w:r>
        <w:rPr>
          <w:rFonts w:ascii="Liberation Serif" w:hAnsi="Liberation Serif"/>
        </w:rPr>
        <w:t>ingen sollte. Das wird unterstrichen, wenn man sich zum Beispiel den Art. 8.44 Abs. 3 Buchstabe e CETA vor Augen führt. Der lautet: „Der Ausschuss für Dienstleistungen und Investitionen kann im Einvernehmen mit den Vertragsparteien, nachdem diese ihre jewe</w:t>
      </w:r>
      <w:r>
        <w:rPr>
          <w:rFonts w:ascii="Liberation Serif" w:hAnsi="Liberation Serif"/>
        </w:rPr>
        <w:t>iligen internen Vorschriften erfüllt und die internen Verfahren abgeschlossen haben, … d) dem Gemischten CETA-Ausschuss nach Artikel 8.10 Absatz 3 die Festlegung etwaiger weiterer Bestandteile der Verpflichtung zur Gewährung einer gerechten und billigen Be</w:t>
      </w:r>
      <w:r>
        <w:rPr>
          <w:rFonts w:ascii="Liberation Serif" w:hAnsi="Liberation Serif"/>
        </w:rPr>
        <w:t xml:space="preserve">handlung empfehlen.“ </w:t>
      </w:r>
    </w:p>
    <w:p w:rsidR="009370E5" w:rsidRDefault="00543EF0">
      <w:pPr>
        <w:pStyle w:val="StandardWeb"/>
      </w:pPr>
      <w:r>
        <w:t>6. Beschlüsse des Gemischten CETA-Ausschusses sind auch für das CETA-Investitionsgericht verbindlich. Was aber passiert, wenn das Investitionsgericht oder die Berufungsinstanz die Auslegung des Gemischten CETA-Ausschusses im Sinne Art</w:t>
      </w:r>
      <w:r>
        <w:t>. 31. des Wiener Abkommens über das Recht der Verträge für nicht ausreichend oder nicht vertretbar halten sollten? Wie wird der spätere Internationale Investitionsgerichtshof in einem solchen Falle entscheiden? Zudem werden durch die internationale Diskuss</w:t>
      </w:r>
      <w:r>
        <w:t xml:space="preserve">ion und Rechtsprechung die Tatbestände im Investitionsschutz fortentwickelt. Es ist davon auszugehen, dass auch dies in die Entscheidungen der CETA-Gerichte einfließen wird. </w:t>
      </w:r>
      <w:r>
        <w:rPr>
          <w:rFonts w:ascii="Liberation Serif" w:hAnsi="Liberation Serif"/>
        </w:rPr>
        <w:t>Die im Koalitionsvertrag der Ampel vorgesehene Konzentration auf auf den Tatbestan</w:t>
      </w:r>
      <w:r>
        <w:rPr>
          <w:rFonts w:ascii="Liberation Serif" w:hAnsi="Liberation Serif"/>
        </w:rPr>
        <w:t xml:space="preserve">d der „Diskriminierung“ ist bereits im Gemeinsamen Auslegungsinstrument von 2016 enthalten. Jedenfalls kann der folgende Satz so gelesen werden: </w:t>
      </w:r>
      <w:bookmarkStart w:id="18" w:name="page54R_mcid0"/>
      <w:bookmarkEnd w:id="18"/>
      <w:r>
        <w:rPr>
          <w:rFonts w:ascii="Liberation Serif" w:hAnsi="Liberation Serif"/>
        </w:rPr>
        <w:t>„</w:t>
      </w:r>
      <w:bookmarkStart w:id="19" w:name="page1R_mcid0"/>
      <w:bookmarkEnd w:id="19"/>
      <w:r>
        <w:rPr>
          <w:rFonts w:ascii="Liberation Serif" w:hAnsi="Liberation Serif"/>
        </w:rPr>
        <w:t>Das CETA wird nicht dazu führen, dass ausländische gegenüber einheimischen Investoren begünstigt werden“.</w:t>
      </w:r>
      <w:r>
        <w:rPr>
          <w:rStyle w:val="Funotenanker"/>
          <w:rFonts w:ascii="Liberation Serif" w:hAnsi="Liberation Serif"/>
        </w:rPr>
        <w:footnoteReference w:id="21"/>
      </w:r>
      <w:r>
        <w:rPr>
          <w:rFonts w:ascii="Liberation Serif" w:hAnsi="Liberation Serif"/>
        </w:rPr>
        <w:t xml:space="preserve"> Kra</w:t>
      </w:r>
      <w:r>
        <w:rPr>
          <w:rFonts w:ascii="Liberation Serif" w:hAnsi="Liberation Serif"/>
        </w:rPr>
        <w:t>jewski hält es für wenig wahrscheinlich, dass der Investitionsgerichtshof, angesichts der übrigen Anspruchsgrundlagen in CETA, sich bei der Interpretation des Vertrages auf eine Inländergleichbehandlung beschränken würde.</w:t>
      </w:r>
      <w:r>
        <w:rPr>
          <w:rStyle w:val="Funotenanker"/>
          <w:rFonts w:ascii="Liberation Serif" w:hAnsi="Liberation Serif"/>
        </w:rPr>
        <w:footnoteReference w:id="22"/>
      </w:r>
      <w:r>
        <w:rPr>
          <w:rFonts w:ascii="Liberation Serif" w:hAnsi="Liberation Serif"/>
        </w:rPr>
        <w:t xml:space="preserve"> </w:t>
      </w:r>
    </w:p>
    <w:p w:rsidR="009370E5" w:rsidRDefault="00543EF0">
      <w:pPr>
        <w:pStyle w:val="StandardWeb"/>
      </w:pPr>
      <w:r>
        <w:t xml:space="preserve">7. Das Vertrauen in eine solche </w:t>
      </w:r>
      <w:r>
        <w:t>Interpretationserklärung wird auch dadurch geschmälert, dass wichtige Versprechen des Gemeinsamen Auslegungsinstrumentes von 2016 bisher nicht umgesetzt worden sind. Dazu zählt, neben der angeführten Inländerdiskriminierung, dass das zahnlose Nachhaltigkei</w:t>
      </w:r>
      <w:r>
        <w:t>tskapitel von CETA überarbeitet wird. Das Gemeinsame Auslegungsinstrument von 2016 legt fest, dass die Vertragsparteien entschlossen sind,</w:t>
      </w:r>
      <w:r>
        <w:rPr>
          <w:rFonts w:ascii="Liberation Serif" w:hAnsi="Liberation Serif"/>
        </w:rPr>
        <w:t xml:space="preserve"> eine frühzeitige Überprüfung der </w:t>
      </w:r>
      <w:bookmarkStart w:id="20" w:name="page12R_mcid011"/>
      <w:bookmarkEnd w:id="20"/>
      <w:r>
        <w:rPr>
          <w:rFonts w:ascii="Liberation Serif" w:hAnsi="Liberation Serif"/>
        </w:rPr>
        <w:t xml:space="preserve">speziellen und bindenden Bewertungs- und Überprüfungsmechanismen </w:t>
      </w:r>
      <w:bookmarkStart w:id="21" w:name="page12R_mcid021"/>
      <w:bookmarkEnd w:id="21"/>
      <w:r>
        <w:rPr>
          <w:rFonts w:ascii="Liberation Serif" w:hAnsi="Liberation Serif"/>
        </w:rPr>
        <w:t>für die Bereiche Ha</w:t>
      </w:r>
      <w:r>
        <w:rPr>
          <w:rFonts w:ascii="Liberation Serif" w:hAnsi="Liberation Serif"/>
        </w:rPr>
        <w:t xml:space="preserve">ndel und Arbeit sowie Handel und Umwelt einzuleiten, auch im Hinblick auf </w:t>
      </w:r>
      <w:r>
        <w:rPr>
          <w:rFonts w:ascii="Liberation Serif" w:hAnsi="Liberation Serif"/>
        </w:rPr>
        <w:lastRenderedPageBreak/>
        <w:t>deren effektive Durchsetzbarkeit.</w:t>
      </w:r>
      <w:r>
        <w:rPr>
          <w:rStyle w:val="Funotenanker"/>
          <w:rFonts w:ascii="Liberation Serif" w:hAnsi="Liberation Serif"/>
        </w:rPr>
        <w:footnoteReference w:id="23"/>
      </w:r>
      <w:r>
        <w:rPr>
          <w:rFonts w:ascii="sans-serif" w:hAnsi="sans-serif"/>
          <w:sz w:val="42"/>
        </w:rPr>
        <w:t xml:space="preserve"> </w:t>
      </w:r>
      <w:r>
        <w:t>Das ist nicht erfolgt.</w:t>
      </w:r>
      <w:r>
        <w:rPr>
          <w:rStyle w:val="Funotenanker"/>
        </w:rPr>
        <w:footnoteReference w:id="24"/>
      </w:r>
      <w:r>
        <w:t xml:space="preserve"> Unter den Themen der Bundesregierung für die neue Interpretationserklärung zu CETA ist dies nicht mehr enthalten. Die neue </w:t>
      </w:r>
      <w:r>
        <w:t>EU-Handelsstrategie, die die Europäische Kommission im Februar 2021 vorgelegt hat, will al</w:t>
      </w:r>
      <w:bookmarkStart w:id="22" w:name="page17R_mcid6"/>
      <w:bookmarkEnd w:id="22"/>
      <w:r>
        <w:t>lerdings „</w:t>
      </w:r>
      <w:r>
        <w:rPr>
          <w:rFonts w:ascii="Liberation Serif" w:hAnsi="Liberation Serif"/>
        </w:rPr>
        <w:t>größere Anstrengungen, um die wirksame Umsetzung und Durchsetzung der Kapitel über nachhaltige Entwicklung in den Handelsabkommen der EU sicherzustellen und</w:t>
      </w:r>
      <w:r>
        <w:rPr>
          <w:rFonts w:ascii="Liberation Serif" w:hAnsi="Liberation Serif"/>
        </w:rPr>
        <w:t xml:space="preserve"> somit die Sozial-, Arbeits- und Umweltstandards weltweit anzuheben“.</w:t>
      </w:r>
      <w:r>
        <w:rPr>
          <w:rStyle w:val="Funotenanker"/>
          <w:rFonts w:ascii="Liberation Serif" w:hAnsi="Liberation Serif"/>
        </w:rPr>
        <w:footnoteReference w:id="25"/>
      </w:r>
      <w:r>
        <w:rPr>
          <w:rFonts w:ascii="Liberation Serif" w:hAnsi="Liberation Serif"/>
        </w:rPr>
        <w:t xml:space="preserve"> Die Bundesregierung begrüßt diese Handelsstrategie, für CETA bleibt sie aber ohne Folgen. Im Eckpunktepapier „Handelspolitik der Bundesregierung“ vom 1. 7. 2022 ist die effektive Umsetz</w:t>
      </w:r>
      <w:r>
        <w:rPr>
          <w:rFonts w:ascii="Liberation Serif" w:hAnsi="Liberation Serif"/>
        </w:rPr>
        <w:t>ung der Nachhaltigkeitskapitel enthalten. Allerdings bleibt sie auf die „</w:t>
      </w:r>
      <w:r>
        <w:rPr>
          <w:rFonts w:ascii="Liberation Serif" w:hAnsi="Liberation Serif"/>
        </w:rPr>
        <w:t>künftigen Handelsverträge“ und die, „die derzeit bereits verhandelt werden“ beschränkt.</w:t>
      </w:r>
      <w:r>
        <w:rPr>
          <w:rStyle w:val="Funotenanker"/>
          <w:rFonts w:ascii="Liberation Serif" w:hAnsi="Liberation Serif"/>
        </w:rPr>
        <w:footnoteReference w:id="26"/>
      </w:r>
      <w:r>
        <w:rPr>
          <w:rFonts w:ascii="Liberation Serif" w:hAnsi="Liberation Serif"/>
        </w:rPr>
        <w:t xml:space="preserve"> </w:t>
      </w:r>
      <w:r>
        <w:rPr>
          <w:rFonts w:ascii="Liberation Serif" w:hAnsi="Liberation Serif"/>
        </w:rPr>
        <w:t>Im Hinblick auf das Investitionsgerichtssystem hingegen ist die Europäische Kommission den Ver</w:t>
      </w:r>
      <w:r>
        <w:rPr>
          <w:rFonts w:ascii="Liberation Serif" w:hAnsi="Liberation Serif"/>
        </w:rPr>
        <w:t>pflichtungen aus Gliederungspunkt 6 Buchstabe f der Gemeinsamen Erklärung von 2016 nachgekommen und hat unverzüglich die Arbeiten daran aufgenommen. So hat sie z.B. im Oktober 2019 vier Vorschläge zur Umsetzung des CETA Investitonsgerichtssystems vorgelegt</w:t>
      </w:r>
      <w:r>
        <w:rPr>
          <w:rFonts w:ascii="Liberation Serif" w:hAnsi="Liberation Serif"/>
        </w:rPr>
        <w:t>.</w:t>
      </w:r>
      <w:r>
        <w:rPr>
          <w:rStyle w:val="Funotenanker"/>
          <w:rFonts w:ascii="Liberation Serif" w:hAnsi="Liberation Serif"/>
        </w:rPr>
        <w:footnoteReference w:id="27"/>
      </w:r>
      <w:r>
        <w:rPr>
          <w:rFonts w:ascii="Liberation Serif" w:hAnsi="Liberation Serif"/>
        </w:rPr>
        <w:t xml:space="preserve"> Dieser Umstand wirft ein Schlaglicht auf die wahren Prioritäten der EU-Handelspolitik.</w:t>
      </w:r>
    </w:p>
    <w:p w:rsidR="009370E5" w:rsidRDefault="00543EF0">
      <w:pPr>
        <w:pStyle w:val="StandardWeb"/>
      </w:pPr>
      <w:r>
        <w:t xml:space="preserve">8. Das Gemeinsame Auslegungsinstrument aus 2016 legt im Hinblick auf das Vorsorgeprinzip in der Präambel fest: </w:t>
      </w:r>
      <w:r>
        <w:rPr>
          <w:rFonts w:ascii="Liberation Serif" w:hAnsi="Liberation Serif"/>
        </w:rPr>
        <w:t>„Die Europäische Union und ihre Mitgliedstaaten und Kan</w:t>
      </w:r>
      <w:r>
        <w:rPr>
          <w:rFonts w:ascii="Liberation Serif" w:hAnsi="Liberation Serif"/>
        </w:rPr>
        <w:t>ada bekräftigen ihre Verpflichtungen im Hinblick auf die Vorsorge, die sie im Rahmen internationaler Übereinkommen eingegangen sind.“</w:t>
      </w:r>
      <w:r>
        <w:rPr>
          <w:rStyle w:val="Funotenanker"/>
          <w:rFonts w:ascii="Liberation Serif" w:hAnsi="Liberation Serif"/>
        </w:rPr>
        <w:footnoteReference w:id="28"/>
      </w:r>
      <w:r>
        <w:rPr>
          <w:rFonts w:ascii="Liberation Serif" w:hAnsi="Liberation Serif"/>
        </w:rPr>
        <w:t xml:space="preserve"> D</w:t>
      </w:r>
      <w:r>
        <w:t>as hat aber Kanada nicht davon abgehalten, das europäische Vorsorgeprinzip im SPS-Ausschuss, heftig zu attackieren und m</w:t>
      </w:r>
      <w:r>
        <w:t>it WTO-Verfahren zu drohen.</w:t>
      </w:r>
      <w:r>
        <w:rPr>
          <w:rStyle w:val="Funotenanker"/>
        </w:rPr>
        <w:footnoteReference w:id="29"/>
      </w:r>
      <w:r>
        <w:t xml:space="preserve"> </w:t>
      </w:r>
    </w:p>
    <w:p w:rsidR="009370E5" w:rsidRDefault="00543EF0">
      <w:pPr>
        <w:pStyle w:val="StandardWeb"/>
      </w:pPr>
      <w:r>
        <w:t>9. Ein Entwurfstext der Interpretationserklärung ist nicht bekannt geworden. Gerade wegen der prinzipiellen Beschränktheit dieses Instrumentes müssen die Zivilgesellschaft, die Verbände und die Öffentlichkeit frühzeitig inform</w:t>
      </w:r>
      <w:r>
        <w:t>iert werden. Zu befürchten ist hingegen eine „geheime Kommandosache“. Bereits bei der obligatorischen Verbändeanhörung gemäß § 47 GGO zum CETA-Ratifizierungsgesetz hat das Bundesministerium für Wirtschaft und Klimaschutz (BMWK) eine Frist von nur einem Tag</w:t>
      </w:r>
      <w:r>
        <w:t xml:space="preserve"> gesetzt.</w:t>
      </w:r>
      <w:r>
        <w:rPr>
          <w:rStyle w:val="Funotenanker"/>
        </w:rPr>
        <w:footnoteReference w:id="30"/>
      </w:r>
      <w:r>
        <w:t xml:space="preserve"> Das wurde auch in den das </w:t>
      </w:r>
      <w:r>
        <w:lastRenderedPageBreak/>
        <w:t>Ratifizierungsvorhaben und CETA in dieser Form ablehnenden Stellungnahmen von DGB und ver.di scharf kritisiert.</w:t>
      </w:r>
      <w:r>
        <w:rPr>
          <w:rStyle w:val="Funotenanker"/>
        </w:rPr>
        <w:footnoteReference w:id="31"/>
      </w:r>
    </w:p>
    <w:p w:rsidR="009370E5" w:rsidRDefault="00543EF0">
      <w:pPr>
        <w:pStyle w:val="StandardWeb"/>
      </w:pPr>
      <w:r>
        <w:t>Eine solch kurze Frist ermöglicht keine umfassende und detaillierte Stellungnahme. Von einem ernsthaften B</w:t>
      </w:r>
      <w:r>
        <w:t xml:space="preserve">eteiligungsverfahren kann nicht die Rede sein. Es entsteht der Eindruck, dass das BMWK kein ernsthaftes Interesse an Rückmeldungen hat. </w:t>
      </w:r>
    </w:p>
    <w:p w:rsidR="009370E5" w:rsidRDefault="00543EF0">
      <w:pPr>
        <w:pStyle w:val="StandardWeb"/>
        <w:rPr>
          <w:u w:val="single"/>
        </w:rPr>
      </w:pPr>
      <w:r>
        <w:rPr>
          <w:u w:val="single"/>
        </w:rPr>
        <w:t xml:space="preserve">Alternativen zur Interpretationserklärung </w:t>
      </w:r>
    </w:p>
    <w:p w:rsidR="009370E5" w:rsidRDefault="00543EF0">
      <w:pPr>
        <w:pStyle w:val="StandardWeb"/>
      </w:pPr>
      <w:r>
        <w:t>Neben der wenig effektiven Auslegungserklärung kommen zur Nachbesserung eine</w:t>
      </w:r>
      <w:r>
        <w:t xml:space="preserve">s internationalen Abkommens noch Zusatzabkommen (Side Letter oder Protokoll) oder eine Neuverhandlung in Betracht. </w:t>
      </w:r>
      <w:r>
        <w:rPr>
          <w:rFonts w:ascii="Liberation Serif" w:hAnsi="Liberation Serif"/>
        </w:rPr>
        <w:t>Bei einem Zusatzabkommen können die Bestimmungen des Vertrags ergänzt oder ersetzt werden. Es können sich aber Widersprüche und Kohärenzprobl</w:t>
      </w:r>
      <w:r>
        <w:rPr>
          <w:rFonts w:ascii="Liberation Serif" w:hAnsi="Liberation Serif"/>
        </w:rPr>
        <w:t>eme zwischen dem Ursprungsvertrag und dem Zusatzabkommen ergeben. Da sich die Vertragsparteien ohnehin einigen müssen, könnte auch gleich neu verhandelt werden. Neuverhandlungen würden nicht bei Null anfangen, es können aber alle problematischen Punkte ein</w:t>
      </w:r>
      <w:r>
        <w:rPr>
          <w:rFonts w:ascii="Liberation Serif" w:hAnsi="Liberation Serif"/>
        </w:rPr>
        <w:t>gebracht werden.</w:t>
      </w:r>
      <w:r>
        <w:rPr>
          <w:rStyle w:val="Funotenanker"/>
          <w:rFonts w:ascii="Liberation Serif" w:hAnsi="Liberation Serif"/>
        </w:rPr>
        <w:footnoteReference w:id="32"/>
      </w:r>
      <w:r>
        <w:rPr>
          <w:rFonts w:ascii="Liberation Serif" w:hAnsi="Liberation Serif"/>
        </w:rPr>
        <w:t xml:space="preserve"> Eine Neuverhandlung dürfte aber schwieriger zu erreichen sein, als ein Zusatzabkommen.</w:t>
      </w:r>
    </w:p>
    <w:p w:rsidR="009370E5" w:rsidRDefault="00543EF0">
      <w:pPr>
        <w:rPr>
          <w:rFonts w:ascii="Liberation Serif" w:hAnsi="Liberation Serif"/>
          <w:sz w:val="24"/>
          <w:szCs w:val="24"/>
        </w:rPr>
      </w:pPr>
      <w:r>
        <w:rPr>
          <w:rFonts w:ascii="Liberation Serif" w:hAnsi="Liberation Serif" w:cs="Arial"/>
          <w:sz w:val="24"/>
          <w:szCs w:val="24"/>
          <w:u w:val="single"/>
        </w:rPr>
        <w:t>Stand der Ratifizierung in Europa</w:t>
      </w:r>
    </w:p>
    <w:p w:rsidR="009370E5" w:rsidRDefault="009370E5">
      <w:pPr>
        <w:rPr>
          <w:rFonts w:ascii="Liberation Serif" w:hAnsi="Liberation Serif" w:cs="Arial"/>
          <w:sz w:val="24"/>
          <w:szCs w:val="24"/>
        </w:rPr>
      </w:pPr>
    </w:p>
    <w:p w:rsidR="009370E5" w:rsidRDefault="00543EF0">
      <w:pPr>
        <w:rPr>
          <w:rFonts w:ascii="Liberation Serif" w:hAnsi="Liberation Serif"/>
          <w:sz w:val="24"/>
          <w:szCs w:val="24"/>
        </w:rPr>
      </w:pPr>
      <w:r>
        <w:rPr>
          <w:rFonts w:ascii="Liberation Serif" w:hAnsi="Liberation Serif" w:cs="Arial"/>
          <w:sz w:val="24"/>
          <w:szCs w:val="24"/>
        </w:rPr>
        <w:t xml:space="preserve">Die Ratifizierung ist in 15 Mitgliedstaaten erfolgt. </w:t>
      </w:r>
      <w:bookmarkStart w:id="30" w:name="page1R_mcid4"/>
      <w:bookmarkEnd w:id="30"/>
      <w:r>
        <w:rPr>
          <w:rFonts w:ascii="Liberation Serif" w:hAnsi="Liberation Serif" w:cs="Arial"/>
          <w:sz w:val="24"/>
          <w:szCs w:val="24"/>
        </w:rPr>
        <w:t>Das sind Dänemark, Estland, Finnland, Kroatien, Lettland, Litau</w:t>
      </w:r>
      <w:r>
        <w:rPr>
          <w:rFonts w:ascii="Liberation Serif" w:hAnsi="Liberation Serif" w:cs="Arial"/>
          <w:sz w:val="24"/>
          <w:szCs w:val="24"/>
        </w:rPr>
        <w:t>en, Luxemburg, Malta, Österreich, Portugal, Rumänien, Schweden, Slowakei, Spanien und Tschechien.</w:t>
      </w:r>
      <w:r>
        <w:rPr>
          <w:rStyle w:val="Funotenanker"/>
          <w:rFonts w:ascii="Liberation Serif" w:hAnsi="Liberation Serif" w:cs="Arial"/>
          <w:sz w:val="24"/>
          <w:szCs w:val="24"/>
        </w:rPr>
        <w:footnoteReference w:id="33"/>
      </w:r>
      <w:r>
        <w:rPr>
          <w:rFonts w:ascii="Liberation Serif" w:hAnsi="Liberation Serif" w:cs="Arial"/>
          <w:sz w:val="24"/>
          <w:szCs w:val="24"/>
        </w:rPr>
        <w:t xml:space="preserve"> In zwölf Mitgliedstaaten steht die Ratifizierung noch aus. Von denen haben einige recht grundsätzlich Bedenken gegen CETA angeführt. In weiteren Mitgliedstaaten ist unklar, ob die erforderlichen parlamentarischen Mehrheiten zustande kommen. Eine ausdrückl</w:t>
      </w:r>
      <w:r>
        <w:rPr>
          <w:rFonts w:ascii="Liberation Serif" w:hAnsi="Liberation Serif" w:cs="Arial"/>
          <w:sz w:val="24"/>
          <w:szCs w:val="24"/>
        </w:rPr>
        <w:t>iche Ablehnung von CETA liegt aus Zypern vor. Das Land hat Nachverhandlungen gefordert. Die bislang letzte Ratifikation stammt aus Rumänen und erfolgte vor über einem Jahr.</w:t>
      </w:r>
      <w:r>
        <w:rPr>
          <w:rStyle w:val="Funotenanker"/>
          <w:rFonts w:ascii="Liberation Serif" w:hAnsi="Liberation Serif" w:cs="Arial"/>
          <w:sz w:val="24"/>
          <w:szCs w:val="24"/>
        </w:rPr>
        <w:footnoteReference w:id="34"/>
      </w:r>
      <w:r>
        <w:rPr>
          <w:rFonts w:ascii="Liberation Serif" w:hAnsi="Liberation Serif" w:cs="Arial"/>
          <w:sz w:val="24"/>
          <w:szCs w:val="24"/>
        </w:rPr>
        <w:t xml:space="preserve"> In Berlin wird aber erwartet, dass die Entscheidung Deutschlands Schule machen wir</w:t>
      </w:r>
      <w:r>
        <w:rPr>
          <w:rFonts w:ascii="Liberation Serif" w:hAnsi="Liberation Serif" w:cs="Arial"/>
          <w:sz w:val="24"/>
          <w:szCs w:val="24"/>
        </w:rPr>
        <w:t>d. Als „Sorgenkind“ gilt allerdings Frankreich.</w:t>
      </w:r>
      <w:r>
        <w:rPr>
          <w:rStyle w:val="Funotenanker"/>
          <w:rFonts w:ascii="Liberation Serif" w:hAnsi="Liberation Serif" w:cs="Arial"/>
          <w:sz w:val="24"/>
          <w:szCs w:val="24"/>
        </w:rPr>
        <w:footnoteReference w:id="35"/>
      </w:r>
    </w:p>
    <w:p w:rsidR="009370E5" w:rsidRDefault="009370E5">
      <w:pPr>
        <w:rPr>
          <w:rFonts w:ascii="Liberation Serif" w:hAnsi="Liberation Serif" w:cs="Arial"/>
          <w:sz w:val="24"/>
          <w:szCs w:val="24"/>
        </w:rPr>
      </w:pPr>
    </w:p>
    <w:p w:rsidR="009370E5" w:rsidRDefault="00543EF0">
      <w:pPr>
        <w:rPr>
          <w:rFonts w:ascii="Liberation Serif" w:hAnsi="Liberation Serif"/>
          <w:sz w:val="24"/>
          <w:szCs w:val="24"/>
        </w:rPr>
      </w:pPr>
      <w:r>
        <w:rPr>
          <w:rFonts w:ascii="Liberation Serif" w:hAnsi="Liberation Serif" w:cs="Arial"/>
          <w:sz w:val="24"/>
          <w:szCs w:val="24"/>
        </w:rPr>
        <w:t>In Frankreich hat zwar die Nationalversammlung 2019 der Ratifizierung mit der damaligen Mehrheit Macrons zugestimmt, doch es fehlt noch der Beschluss des Senats.</w:t>
      </w:r>
      <w:r>
        <w:rPr>
          <w:rStyle w:val="Funotenanker"/>
          <w:rFonts w:ascii="Liberation Serif" w:hAnsi="Liberation Serif" w:cs="Arial"/>
          <w:sz w:val="24"/>
          <w:szCs w:val="24"/>
        </w:rPr>
        <w:footnoteReference w:id="36"/>
      </w:r>
      <w:r>
        <w:rPr>
          <w:rFonts w:ascii="Liberation Serif" w:hAnsi="Liberation Serif" w:cs="Arial"/>
          <w:sz w:val="24"/>
          <w:szCs w:val="24"/>
        </w:rPr>
        <w:t xml:space="preserve"> Alle Parteien bis auf Macrons „Renaissance </w:t>
      </w:r>
      <w:r>
        <w:rPr>
          <w:rFonts w:ascii="Liberation Serif" w:hAnsi="Liberation Serif" w:cs="Arial"/>
          <w:sz w:val="24"/>
          <w:szCs w:val="24"/>
        </w:rPr>
        <w:t xml:space="preserve">(ehemals „La Republique En Marche“) sind gegen CETA oder wie die Republikaner gespalten. Ebenso lehnen die wichtigsten Gewerkschaften und </w:t>
      </w:r>
      <w:r>
        <w:rPr>
          <w:rFonts w:ascii="Liberation Serif" w:hAnsi="Liberation Serif" w:cs="Arial"/>
          <w:sz w:val="24"/>
          <w:szCs w:val="24"/>
        </w:rPr>
        <w:lastRenderedPageBreak/>
        <w:t>Bauernverbände sowie die mit Umweltfragen befassten NGO das Abkommen ab. Unterstützer sind die Exportwirtschaft und di</w:t>
      </w:r>
      <w:r>
        <w:rPr>
          <w:rFonts w:ascii="Liberation Serif" w:hAnsi="Liberation Serif" w:cs="Arial"/>
          <w:sz w:val="24"/>
          <w:szCs w:val="24"/>
        </w:rPr>
        <w:t>e liberal orientierten Teile der Wirtschaft.</w:t>
      </w:r>
      <w:r>
        <w:rPr>
          <w:rStyle w:val="Funotenanker"/>
          <w:rFonts w:ascii="Liberation Serif" w:hAnsi="Liberation Serif" w:cs="Arial"/>
          <w:sz w:val="24"/>
          <w:szCs w:val="24"/>
        </w:rPr>
        <w:footnoteReference w:id="37"/>
      </w:r>
      <w:r>
        <w:rPr>
          <w:rFonts w:ascii="Liberation Serif" w:hAnsi="Liberation Serif" w:cs="Arial"/>
          <w:sz w:val="24"/>
          <w:szCs w:val="24"/>
        </w:rPr>
        <w:t xml:space="preserve"> </w:t>
      </w:r>
    </w:p>
    <w:p w:rsidR="009370E5" w:rsidRDefault="00543EF0">
      <w:pPr>
        <w:pStyle w:val="StandardWeb"/>
        <w:rPr>
          <w:rFonts w:ascii="Liberation Serif" w:hAnsi="Liberation Serif" w:cs="Arial"/>
          <w:u w:val="single"/>
        </w:rPr>
      </w:pPr>
      <w:r>
        <w:rPr>
          <w:rFonts w:ascii="Liberation Serif" w:hAnsi="Liberation Serif" w:cs="Arial"/>
          <w:u w:val="single"/>
        </w:rPr>
        <w:t>Ergebnis</w:t>
      </w:r>
    </w:p>
    <w:p w:rsidR="009370E5" w:rsidRDefault="00543EF0">
      <w:pPr>
        <w:pStyle w:val="StandardWeb"/>
        <w:rPr>
          <w:rFonts w:ascii="Liberation Serif" w:hAnsi="Liberation Serif"/>
        </w:rPr>
      </w:pPr>
      <w:r>
        <w:rPr>
          <w:rFonts w:ascii="Liberation Serif" w:hAnsi="Liberation Serif" w:cs="Arial"/>
        </w:rPr>
        <w:t>Es besteht jetzt kein objektiver Zwang zu einer Ratifizierung und keine Notwendigkeit zur Eile. Das Handelsabkommen wird zum allergrößten Teil vorläufig umgesetzt. Weitere elf Mitgliedstaaten haben no</w:t>
      </w:r>
      <w:r>
        <w:rPr>
          <w:rFonts w:ascii="Liberation Serif" w:hAnsi="Liberation Serif" w:cs="Arial"/>
        </w:rPr>
        <w:t>ch nicht ratifiziert. Nicht nur in Deutschland gibt es große Vorbehalte. Die Bundesregierung könnte sich für ein Zusatzabkommen oder Neuverhandlungen einsetzen, mit dem Ziel die strittigen Punkte eindeutig auszuräumen und um, gerade mit einem Partner wie K</w:t>
      </w:r>
      <w:r>
        <w:rPr>
          <w:rFonts w:ascii="Liberation Serif" w:hAnsi="Liberation Serif" w:cs="Arial"/>
        </w:rPr>
        <w:t xml:space="preserve">anada, wirklich neue und gute Maßstäbe für Handelsabkommen zu setzen. Dabei müsste auch die neue handelspolitische Strategie der EU berücksichtigt werden. </w:t>
      </w:r>
    </w:p>
    <w:p w:rsidR="009370E5" w:rsidRDefault="00543EF0">
      <w:pPr>
        <w:pStyle w:val="StandardWeb"/>
        <w:rPr>
          <w:b/>
          <w:bCs/>
          <w:sz w:val="28"/>
          <w:szCs w:val="28"/>
          <w:u w:val="single"/>
        </w:rPr>
      </w:pPr>
      <w:r>
        <w:rPr>
          <w:rFonts w:ascii="Liberation Serif" w:hAnsi="Liberation Serif" w:cs="Arial"/>
          <w:b/>
          <w:bCs/>
          <w:sz w:val="28"/>
          <w:szCs w:val="28"/>
          <w:u w:val="single"/>
        </w:rPr>
        <w:t>II. Zu den noch immer ungelösten Problemen von CETA</w:t>
      </w:r>
    </w:p>
    <w:p w:rsidR="009370E5" w:rsidRDefault="00543EF0">
      <w:pPr>
        <w:rPr>
          <w:rFonts w:ascii="Liberation Serif" w:hAnsi="Liberation Serif"/>
          <w:sz w:val="24"/>
          <w:szCs w:val="24"/>
        </w:rPr>
      </w:pPr>
      <w:r>
        <w:rPr>
          <w:rFonts w:ascii="Liberation Serif" w:hAnsi="Liberation Serif"/>
          <w:sz w:val="24"/>
          <w:szCs w:val="24"/>
          <w:u w:val="single"/>
        </w:rPr>
        <w:t>Beschlusslage der SPD</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cs="Arial"/>
          <w:sz w:val="24"/>
          <w:szCs w:val="24"/>
        </w:rPr>
        <w:t xml:space="preserve">Auf dem Parteikonvent am </w:t>
      </w:r>
      <w:r>
        <w:rPr>
          <w:rFonts w:ascii="Liberation Serif" w:hAnsi="Liberation Serif" w:cs="Arial"/>
          <w:sz w:val="24"/>
          <w:szCs w:val="24"/>
        </w:rPr>
        <w:t>20. September 2014 und auf dem Parteitag am 12. Dezember 2015 hat die SPD ihre Zustimmung zu Freihandelsabkommen wie dem damals intensiv diskutierten aber gescheiterten europäisch-US-amerikanischen Abkommen TTIP an die Einhaltung roter Linien geknüpft.</w:t>
      </w:r>
    </w:p>
    <w:p w:rsidR="009370E5" w:rsidRDefault="009370E5">
      <w:pPr>
        <w:rPr>
          <w:rFonts w:ascii="Liberation Serif" w:hAnsi="Liberation Serif" w:cs="Arial"/>
          <w:sz w:val="24"/>
          <w:szCs w:val="24"/>
        </w:rPr>
      </w:pPr>
    </w:p>
    <w:p w:rsidR="009370E5" w:rsidRDefault="00543EF0">
      <w:pPr>
        <w:rPr>
          <w:rFonts w:ascii="Liberation Serif" w:hAnsi="Liberation Serif"/>
          <w:sz w:val="24"/>
          <w:szCs w:val="24"/>
        </w:rPr>
      </w:pPr>
      <w:r>
        <w:rPr>
          <w:rFonts w:ascii="Liberation Serif" w:hAnsi="Liberation Serif" w:cs="Arial"/>
          <w:sz w:val="24"/>
          <w:szCs w:val="24"/>
        </w:rPr>
        <w:t>In</w:t>
      </w:r>
      <w:r>
        <w:rPr>
          <w:rFonts w:ascii="Liberation Serif" w:hAnsi="Liberation Serif" w:cs="Arial"/>
          <w:sz w:val="24"/>
          <w:szCs w:val="24"/>
        </w:rPr>
        <w:t xml:space="preserve"> Anwendung dieser roten Linien hat der Parteikonvent am 19. September 2016 eine endgültige Zustimmung zu CETA nur unter bestimmten Bedingungen (Prüfung „offener Punkte und Fragen“ und „klare Erwartungen“) erteilt.</w:t>
      </w:r>
      <w:r>
        <w:rPr>
          <w:rStyle w:val="Funotenanker"/>
          <w:rFonts w:ascii="Liberation Serif" w:hAnsi="Liberation Serif" w:cs="Arial"/>
          <w:sz w:val="24"/>
          <w:szCs w:val="24"/>
        </w:rPr>
        <w:footnoteReference w:id="38"/>
      </w:r>
      <w:r>
        <w:rPr>
          <w:rFonts w:ascii="Liberation Serif" w:hAnsi="Liberation Serif" w:cs="Arial"/>
          <w:sz w:val="24"/>
          <w:szCs w:val="24"/>
        </w:rPr>
        <w:t xml:space="preserve"> Die Bedenken sollten im weiteren Beratung</w:t>
      </w:r>
      <w:r>
        <w:rPr>
          <w:rFonts w:ascii="Liberation Serif" w:hAnsi="Liberation Serif" w:cs="Arial"/>
          <w:sz w:val="24"/>
          <w:szCs w:val="24"/>
        </w:rPr>
        <w:t>s- und Ratifizierungsprozess ausgeräumt werden. Der Beschluss legt fest: „Sozialdemokratinnen und Sozialdemokraten in den Parlamenten werden einem Abkommen zustimmen, das unseren klaren Kriterien eindeutig entspricht“.</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Die „offenen Punkte“ und „klaren Erw</w:t>
      </w:r>
      <w:r>
        <w:rPr>
          <w:rFonts w:ascii="Liberation Serif" w:hAnsi="Liberation Serif"/>
          <w:sz w:val="24"/>
          <w:szCs w:val="24"/>
        </w:rPr>
        <w:t xml:space="preserve">artungen“ sind: </w:t>
      </w:r>
    </w:p>
    <w:p w:rsidR="009370E5" w:rsidRDefault="009370E5">
      <w:pPr>
        <w:rPr>
          <w:rFonts w:ascii="Liberation Serif" w:hAnsi="Liberation Serif"/>
          <w:sz w:val="24"/>
          <w:szCs w:val="24"/>
        </w:rPr>
      </w:pPr>
    </w:p>
    <w:p w:rsidR="009370E5" w:rsidRDefault="00543EF0">
      <w:pPr>
        <w:numPr>
          <w:ilvl w:val="0"/>
          <w:numId w:val="2"/>
        </w:numPr>
        <w:rPr>
          <w:rFonts w:ascii="Liberation Serif" w:hAnsi="Liberation Serif"/>
          <w:sz w:val="24"/>
          <w:szCs w:val="24"/>
        </w:rPr>
      </w:pPr>
      <w:r>
        <w:rPr>
          <w:rFonts w:ascii="Liberation Serif" w:hAnsi="Liberation Serif"/>
          <w:sz w:val="24"/>
          <w:szCs w:val="24"/>
        </w:rPr>
        <w:t xml:space="preserve">Beschränkung des Investorenschutzes auf Schutz vor Diskriminierung gegenüber inländischen Investoren, </w:t>
      </w:r>
    </w:p>
    <w:p w:rsidR="009370E5" w:rsidRDefault="00543EF0">
      <w:pPr>
        <w:numPr>
          <w:ilvl w:val="0"/>
          <w:numId w:val="2"/>
        </w:numPr>
        <w:rPr>
          <w:rFonts w:ascii="Liberation Serif" w:hAnsi="Liberation Serif"/>
          <w:sz w:val="24"/>
          <w:szCs w:val="24"/>
        </w:rPr>
      </w:pPr>
      <w:r>
        <w:rPr>
          <w:rFonts w:ascii="Liberation Serif" w:hAnsi="Liberation Serif"/>
          <w:sz w:val="24"/>
          <w:szCs w:val="24"/>
        </w:rPr>
        <w:t xml:space="preserve">Klarere Definitionen bei den Anspruchsgrundlagen im Investitionsschutz, </w:t>
      </w:r>
    </w:p>
    <w:p w:rsidR="009370E5" w:rsidRDefault="00543EF0">
      <w:pPr>
        <w:numPr>
          <w:ilvl w:val="0"/>
          <w:numId w:val="2"/>
        </w:numPr>
        <w:rPr>
          <w:rFonts w:ascii="Liberation Serif" w:hAnsi="Liberation Serif"/>
          <w:sz w:val="24"/>
          <w:szCs w:val="24"/>
        </w:rPr>
      </w:pPr>
      <w:r>
        <w:rPr>
          <w:rFonts w:ascii="Liberation Serif" w:hAnsi="Liberation Serif"/>
          <w:sz w:val="24"/>
          <w:szCs w:val="24"/>
        </w:rPr>
        <w:t>Sicherung der Unabhängigkeit der richterlichen Entscheidung be</w:t>
      </w:r>
      <w:r>
        <w:rPr>
          <w:rFonts w:ascii="Liberation Serif" w:hAnsi="Liberation Serif"/>
          <w:sz w:val="24"/>
          <w:szCs w:val="24"/>
        </w:rPr>
        <w:t xml:space="preserve">im Investitionsgerichtshof, </w:t>
      </w:r>
    </w:p>
    <w:p w:rsidR="009370E5" w:rsidRDefault="00543EF0">
      <w:pPr>
        <w:numPr>
          <w:ilvl w:val="0"/>
          <w:numId w:val="2"/>
        </w:numPr>
        <w:rPr>
          <w:rFonts w:ascii="Liberation Serif" w:hAnsi="Liberation Serif"/>
          <w:sz w:val="24"/>
          <w:szCs w:val="24"/>
        </w:rPr>
      </w:pPr>
      <w:r>
        <w:rPr>
          <w:rFonts w:ascii="Liberation Serif" w:hAnsi="Liberation Serif"/>
          <w:sz w:val="24"/>
          <w:szCs w:val="24"/>
        </w:rPr>
        <w:t xml:space="preserve">Keine Abweichung beim Vorsorgeprinzip, </w:t>
      </w:r>
    </w:p>
    <w:p w:rsidR="009370E5" w:rsidRDefault="00543EF0">
      <w:pPr>
        <w:numPr>
          <w:ilvl w:val="0"/>
          <w:numId w:val="2"/>
        </w:numPr>
        <w:rPr>
          <w:rFonts w:ascii="Liberation Serif" w:hAnsi="Liberation Serif"/>
          <w:sz w:val="24"/>
          <w:szCs w:val="24"/>
        </w:rPr>
      </w:pPr>
      <w:r>
        <w:rPr>
          <w:rFonts w:ascii="Liberation Serif" w:hAnsi="Liberation Serif"/>
          <w:sz w:val="24"/>
          <w:szCs w:val="24"/>
        </w:rPr>
        <w:t xml:space="preserve">Unterzeichnung der acht ILO-Kernarbeitsnormen, </w:t>
      </w:r>
    </w:p>
    <w:p w:rsidR="009370E5" w:rsidRDefault="00543EF0">
      <w:pPr>
        <w:numPr>
          <w:ilvl w:val="0"/>
          <w:numId w:val="2"/>
        </w:numPr>
        <w:rPr>
          <w:rFonts w:ascii="Liberation Serif" w:hAnsi="Liberation Serif"/>
          <w:sz w:val="24"/>
          <w:szCs w:val="24"/>
        </w:rPr>
      </w:pPr>
      <w:r>
        <w:rPr>
          <w:rFonts w:ascii="Liberation Serif" w:hAnsi="Liberation Serif"/>
          <w:sz w:val="24"/>
          <w:szCs w:val="24"/>
        </w:rPr>
        <w:t xml:space="preserve">Wirkungsvolles Dialogverfahren im Nachhaltigkeitskapitel, Ergänzungen durch Sanktionsmöglichkeiten, </w:t>
      </w:r>
    </w:p>
    <w:p w:rsidR="009370E5" w:rsidRDefault="00543EF0">
      <w:pPr>
        <w:numPr>
          <w:ilvl w:val="0"/>
          <w:numId w:val="2"/>
        </w:numPr>
        <w:rPr>
          <w:rFonts w:ascii="Liberation Serif" w:hAnsi="Liberation Serif"/>
          <w:sz w:val="24"/>
          <w:szCs w:val="24"/>
        </w:rPr>
      </w:pPr>
      <w:r>
        <w:rPr>
          <w:rFonts w:ascii="Liberation Serif" w:hAnsi="Liberation Serif"/>
          <w:sz w:val="24"/>
          <w:szCs w:val="24"/>
        </w:rPr>
        <w:t xml:space="preserve">Keine Verletzung der Souveränität der </w:t>
      </w:r>
      <w:r>
        <w:rPr>
          <w:rFonts w:ascii="Liberation Serif" w:hAnsi="Liberation Serif"/>
          <w:sz w:val="24"/>
          <w:szCs w:val="24"/>
        </w:rPr>
        <w:t>Parlamente und Regierungen durch Befugnisse der CETA-Ausschüsse</w:t>
      </w:r>
    </w:p>
    <w:p w:rsidR="009370E5" w:rsidRDefault="00543EF0">
      <w:pPr>
        <w:numPr>
          <w:ilvl w:val="0"/>
          <w:numId w:val="2"/>
        </w:numPr>
        <w:rPr>
          <w:rFonts w:ascii="Liberation Serif" w:hAnsi="Liberation Serif"/>
          <w:sz w:val="24"/>
          <w:szCs w:val="24"/>
        </w:rPr>
      </w:pPr>
      <w:r>
        <w:rPr>
          <w:rFonts w:ascii="Liberation Serif" w:hAnsi="Liberation Serif"/>
          <w:sz w:val="24"/>
          <w:szCs w:val="24"/>
        </w:rPr>
        <w:t>Keine Erfassung aktueller und künftiger Daseinsvorsorge und</w:t>
      </w:r>
    </w:p>
    <w:p w:rsidR="009370E5" w:rsidRDefault="00543EF0">
      <w:pPr>
        <w:numPr>
          <w:ilvl w:val="0"/>
          <w:numId w:val="2"/>
        </w:numPr>
      </w:pPr>
      <w:r>
        <w:rPr>
          <w:rFonts w:ascii="Liberation Serif" w:hAnsi="Liberation Serif"/>
          <w:sz w:val="24"/>
          <w:szCs w:val="24"/>
        </w:rPr>
        <w:lastRenderedPageBreak/>
        <w:t>Orientierung von CETA am Pariser Klimaschutzabkommen.</w:t>
      </w:r>
      <w:r>
        <w:rPr>
          <w:rStyle w:val="Funotenanker"/>
          <w:rFonts w:ascii="Liberation Serif" w:hAnsi="Liberation Serif"/>
          <w:sz w:val="24"/>
          <w:szCs w:val="24"/>
        </w:rPr>
        <w:footnoteReference w:id="39"/>
      </w:r>
      <w:r>
        <w:t xml:space="preserve"> </w:t>
      </w:r>
    </w:p>
    <w:p w:rsidR="009370E5" w:rsidRDefault="00543EF0">
      <w:pPr>
        <w:pStyle w:val="StandardWeb"/>
      </w:pPr>
      <w:r>
        <w:rPr>
          <w:rFonts w:ascii="Liberation Serif" w:hAnsi="Liberation Serif" w:cs="Arial"/>
        </w:rPr>
        <w:t xml:space="preserve">Im Programm zur Bundestagswahl 2021 sprach sich die SPD für eine Neugestaltung der Handelspolitik aus, allerdings nur in sehr allgemeiner Form. Die konkreten Probleme, die CETA aufwirft, werden nicht angesprochen. Das Wahlprogramm gab vor: </w:t>
      </w:r>
    </w:p>
    <w:p w:rsidR="009370E5" w:rsidRDefault="00543EF0">
      <w:pPr>
        <w:pStyle w:val="StandardWeb"/>
        <w:numPr>
          <w:ilvl w:val="0"/>
          <w:numId w:val="3"/>
        </w:numPr>
      </w:pPr>
      <w:r>
        <w:rPr>
          <w:rFonts w:ascii="Liberation Serif" w:hAnsi="Liberation Serif" w:cs="Arial"/>
        </w:rPr>
        <w:t>Bekenntnis zu e</w:t>
      </w:r>
      <w:r>
        <w:rPr>
          <w:rFonts w:ascii="Liberation Serif" w:hAnsi="Liberation Serif" w:cs="Arial"/>
        </w:rPr>
        <w:t>iner werteorientierten Handelspolitik</w:t>
      </w:r>
    </w:p>
    <w:p w:rsidR="009370E5" w:rsidRDefault="00543EF0">
      <w:pPr>
        <w:pStyle w:val="StandardWeb"/>
        <w:numPr>
          <w:ilvl w:val="0"/>
          <w:numId w:val="3"/>
        </w:numPr>
      </w:pPr>
      <w:r>
        <w:rPr>
          <w:rFonts w:ascii="Liberation Serif" w:hAnsi="Liberation Serif" w:cs="Arial"/>
        </w:rPr>
        <w:t>Handelspolitik als Unterstützer der sozial-ökologischen Transformation.</w:t>
      </w:r>
    </w:p>
    <w:p w:rsidR="009370E5" w:rsidRDefault="00543EF0">
      <w:pPr>
        <w:pStyle w:val="StandardWeb"/>
        <w:numPr>
          <w:ilvl w:val="0"/>
          <w:numId w:val="3"/>
        </w:numPr>
      </w:pPr>
      <w:r>
        <w:rPr>
          <w:rFonts w:ascii="Liberation Serif" w:hAnsi="Liberation Serif" w:cs="Arial"/>
        </w:rPr>
        <w:t xml:space="preserve">Fairness und Partnerschaftlichkeit: Berücksichtigung der Interessen der Handelspartner, insbesondere der weniger entwickelten Länder </w:t>
      </w:r>
    </w:p>
    <w:p w:rsidR="009370E5" w:rsidRDefault="00543EF0">
      <w:pPr>
        <w:pStyle w:val="StandardWeb"/>
        <w:numPr>
          <w:ilvl w:val="0"/>
          <w:numId w:val="3"/>
        </w:numPr>
      </w:pPr>
      <w:r>
        <w:rPr>
          <w:rFonts w:ascii="Liberation Serif" w:hAnsi="Liberation Serif" w:cs="Arial"/>
        </w:rPr>
        <w:t>Demokratisie</w:t>
      </w:r>
      <w:r>
        <w:rPr>
          <w:rFonts w:ascii="Liberation Serif" w:hAnsi="Liberation Serif" w:cs="Arial"/>
        </w:rPr>
        <w:t xml:space="preserve">rung der Handelspolitik durch Stärkung der Entscheidungs- und Kontrollrechte des Europäischen Parlamentes und bessere Beteiligung der Gewerkschaften und Vertreterinnen und Vertreter der Zivilgesellschaft. </w:t>
      </w:r>
    </w:p>
    <w:p w:rsidR="009370E5" w:rsidRDefault="00543EF0">
      <w:pPr>
        <w:pStyle w:val="StandardWeb"/>
        <w:numPr>
          <w:ilvl w:val="0"/>
          <w:numId w:val="3"/>
        </w:numPr>
      </w:pPr>
      <w:r>
        <w:rPr>
          <w:rFonts w:ascii="Liberation Serif" w:hAnsi="Liberation Serif" w:cs="Arial"/>
        </w:rPr>
        <w:t>Multilateralismus und Stärkung der WTO unter Einbe</w:t>
      </w:r>
      <w:r>
        <w:rPr>
          <w:rFonts w:ascii="Liberation Serif" w:hAnsi="Liberation Serif" w:cs="Arial"/>
        </w:rPr>
        <w:t xml:space="preserve">zug der Nachhaltigkeitsziele der Vereinten Nationen. </w:t>
      </w:r>
    </w:p>
    <w:p w:rsidR="009370E5" w:rsidRDefault="00543EF0">
      <w:pPr>
        <w:pStyle w:val="StandardWeb"/>
      </w:pPr>
      <w:r>
        <w:rPr>
          <w:rFonts w:ascii="Liberation Serif" w:hAnsi="Liberation Serif" w:cs="Arial"/>
        </w:rPr>
        <w:t>Von den neun „offenen Punkten und Fragen“ und „klaren Erwartungen“ des Parteikonvents am 19. September 2016 sollen in der angestrebten Interpretationserklärung lediglich die Beschränkungen der materiell</w:t>
      </w:r>
      <w:r>
        <w:rPr>
          <w:rFonts w:ascii="Liberation Serif" w:hAnsi="Liberation Serif" w:cs="Arial"/>
        </w:rPr>
        <w:t>en Grundlagen des Investitionsschutzes und die Befugnisse der CETA-Ausschüsse angesprochen werden. Zusätzlich erscheinen mehr Rechte des Europäischen Parlamentes bei der regulatorischen Kooperation.</w:t>
      </w:r>
    </w:p>
    <w:p w:rsidR="009370E5" w:rsidRDefault="00543EF0">
      <w:pPr>
        <w:pStyle w:val="StandardWeb"/>
      </w:pPr>
      <w:r>
        <w:rPr>
          <w:rFonts w:ascii="Liberation Serif" w:hAnsi="Liberation Serif" w:cs="Arial"/>
        </w:rPr>
        <w:t>Ungelöst sind aber auch: Die Probleme mit der richterlich</w:t>
      </w:r>
      <w:r>
        <w:rPr>
          <w:rFonts w:ascii="Liberation Serif" w:hAnsi="Liberation Serif" w:cs="Arial"/>
        </w:rPr>
        <w:t>en Unabhängigkeit bei den Investitionsgerichten, dem Vorsorgeprinzip, der Daseinsvorsorge und der Durchsetzbarkeit im Nachhaltigkeitskapitel.</w:t>
      </w:r>
      <w:r>
        <w:rPr>
          <w:rStyle w:val="Funotenanker"/>
          <w:rFonts w:ascii="Liberation Serif" w:hAnsi="Liberation Serif" w:cs="Arial"/>
        </w:rPr>
        <w:footnoteReference w:id="40"/>
      </w:r>
    </w:p>
    <w:p w:rsidR="009370E5" w:rsidRDefault="00543EF0">
      <w:pPr>
        <w:pStyle w:val="StandardWeb"/>
        <w:rPr>
          <w:u w:val="single"/>
        </w:rPr>
      </w:pPr>
      <w:r>
        <w:rPr>
          <w:rFonts w:ascii="Liberation Serif" w:hAnsi="Liberation Serif" w:cs="Arial"/>
          <w:u w:val="single"/>
        </w:rPr>
        <w:t>Skizze einiger der im SPD-Konventsbeschluss vom 19. September 2016 angesprochenen Problemfelder von CETA</w:t>
      </w:r>
    </w:p>
    <w:p w:rsidR="009370E5" w:rsidRDefault="00543EF0">
      <w:pPr>
        <w:pStyle w:val="StandardWeb"/>
        <w:rPr>
          <w:u w:val="single"/>
        </w:rPr>
      </w:pPr>
      <w:r>
        <w:rPr>
          <w:rFonts w:ascii="Liberation Serif" w:hAnsi="Liberation Serif" w:cs="Arial"/>
          <w:u w:val="single"/>
        </w:rPr>
        <w:t>Investit</w:t>
      </w:r>
      <w:r>
        <w:rPr>
          <w:rFonts w:ascii="Liberation Serif" w:hAnsi="Liberation Serif" w:cs="Arial"/>
          <w:u w:val="single"/>
        </w:rPr>
        <w:t>ionsschutz</w:t>
      </w:r>
    </w:p>
    <w:p w:rsidR="009370E5" w:rsidRDefault="00543EF0">
      <w:pPr>
        <w:pStyle w:val="StandardWeb"/>
        <w:rPr>
          <w:rFonts w:ascii="Liberation Serif" w:hAnsi="Liberation Serif" w:cs="Arial"/>
        </w:rPr>
      </w:pPr>
      <w:r>
        <w:rPr>
          <w:rFonts w:ascii="Liberation Serif" w:hAnsi="Liberation Serif" w:cs="Arial"/>
        </w:rPr>
        <w:lastRenderedPageBreak/>
        <w:t>Mit Beschluss vom 29. 5. 2016 hat sich der Bundesausschuss der ASJ gegen eine Unterzeichnung, Ratifizierung und vorzeitige Anwendung von CETA gewandt.</w:t>
      </w:r>
      <w:r>
        <w:rPr>
          <w:rStyle w:val="Funotenanker"/>
          <w:rFonts w:ascii="Liberation Serif" w:hAnsi="Liberation Serif" w:cs="Arial"/>
        </w:rPr>
        <w:footnoteReference w:id="41"/>
      </w:r>
      <w:r>
        <w:rPr>
          <w:rFonts w:ascii="Liberation Serif" w:hAnsi="Liberation Serif" w:cs="Arial"/>
        </w:rPr>
        <w:t xml:space="preserve"> Darin heißt es zum Investitionsschutz:</w:t>
      </w:r>
    </w:p>
    <w:p w:rsidR="009370E5" w:rsidRDefault="00543EF0">
      <w:pPr>
        <w:rPr>
          <w:rFonts w:ascii="Liberation Serif" w:hAnsi="Liberation Serif"/>
          <w:sz w:val="24"/>
          <w:szCs w:val="24"/>
        </w:rPr>
      </w:pPr>
      <w:r>
        <w:rPr>
          <w:rFonts w:ascii="Liberation Serif" w:hAnsi="Liberation Serif" w:cs="Arial"/>
          <w:sz w:val="24"/>
          <w:szCs w:val="24"/>
        </w:rPr>
        <w:t>„Die materiell-rechtliche („inhaltliche“) Seite des ne</w:t>
      </w:r>
      <w:r>
        <w:rPr>
          <w:rFonts w:ascii="Liberation Serif" w:hAnsi="Liberation Serif" w:cs="Arial"/>
          <w:sz w:val="24"/>
          <w:szCs w:val="24"/>
        </w:rPr>
        <w:t>uen Investitionsschutzkapitels wurde nahezu wortgleich aus der alten CETA-Fassung übernommen. Damit wird den Kriterien des Parteikonventes nicht entsprochen, da dort eine Abkehr von Staat/Investor-Schiedsgerichten und unbestimmten Rechtsbegriffen gefordert</w:t>
      </w:r>
      <w:r>
        <w:rPr>
          <w:rFonts w:ascii="Liberation Serif" w:hAnsi="Liberation Serif" w:cs="Arial"/>
          <w:sz w:val="24"/>
          <w:szCs w:val="24"/>
        </w:rPr>
        <w:t xml:space="preserve"> wird.“</w:t>
      </w:r>
    </w:p>
    <w:p w:rsidR="009370E5" w:rsidRDefault="00543EF0">
      <w:pPr>
        <w:rPr>
          <w:rFonts w:ascii="Liberation Serif" w:hAnsi="Liberation Serif"/>
          <w:sz w:val="24"/>
          <w:szCs w:val="24"/>
        </w:rPr>
      </w:pPr>
      <w:r>
        <w:rPr>
          <w:rFonts w:ascii="Liberation Serif" w:hAnsi="Liberation Serif" w:cs="Arial"/>
          <w:sz w:val="24"/>
          <w:szCs w:val="24"/>
        </w:rPr>
        <w:t>-</w:t>
      </w:r>
    </w:p>
    <w:p w:rsidR="009370E5" w:rsidRDefault="00543EF0">
      <w:pPr>
        <w:rPr>
          <w:rFonts w:ascii="Liberation Serif" w:hAnsi="Liberation Serif"/>
          <w:sz w:val="24"/>
          <w:szCs w:val="24"/>
        </w:rPr>
      </w:pPr>
      <w:r>
        <w:rPr>
          <w:rFonts w:ascii="Liberation Serif" w:hAnsi="Liberation Serif" w:cs="Arial"/>
          <w:sz w:val="24"/>
          <w:szCs w:val="24"/>
        </w:rPr>
        <w:t>-</w:t>
      </w:r>
    </w:p>
    <w:p w:rsidR="009370E5" w:rsidRDefault="00543EF0">
      <w:pPr>
        <w:rPr>
          <w:rFonts w:ascii="Liberation Serif" w:hAnsi="Liberation Serif"/>
          <w:sz w:val="24"/>
          <w:szCs w:val="24"/>
        </w:rPr>
      </w:pPr>
      <w:r>
        <w:rPr>
          <w:rFonts w:ascii="Liberation Serif" w:hAnsi="Liberation Serif" w:cs="Arial"/>
          <w:sz w:val="24"/>
          <w:szCs w:val="24"/>
        </w:rPr>
        <w:t>-</w:t>
      </w:r>
    </w:p>
    <w:p w:rsidR="009370E5" w:rsidRDefault="00543EF0">
      <w:pPr>
        <w:rPr>
          <w:rFonts w:ascii="Liberation Serif" w:hAnsi="Liberation Serif"/>
          <w:sz w:val="24"/>
          <w:szCs w:val="24"/>
        </w:rPr>
      </w:pPr>
      <w:r>
        <w:rPr>
          <w:rFonts w:ascii="Liberation Serif" w:hAnsi="Liberation Serif" w:cs="Arial"/>
          <w:sz w:val="24"/>
          <w:szCs w:val="24"/>
        </w:rPr>
        <w:t>Grundsätzlicher: Bei aller berechtigten Kritik an konkreten Formulierungen ist es naiv zu glauben, unerwünschte Entwicklungen einer solchen Rechtsprechung im Vorhinein durch geeignete Klauseln ausschließen zu können. Rechtsprechung entwickelt</w:t>
      </w:r>
      <w:r>
        <w:rPr>
          <w:rFonts w:ascii="Liberation Serif" w:hAnsi="Liberation Serif" w:cs="Arial"/>
          <w:sz w:val="24"/>
          <w:szCs w:val="24"/>
        </w:rPr>
        <w:t xml:space="preserve"> sich dynamisch und ihre Ergebnisse lassen sich nur bedingt vorhersagen. Gerichte neigen dazu, den Anwendungsbereich der von ihnen interpretierten Normen weit auszulegen, um interessante Fälle auch entscheiden zu können. Diese Entwicklung gibt es auch im n</w:t>
      </w:r>
      <w:r>
        <w:rPr>
          <w:rFonts w:ascii="Liberation Serif" w:hAnsi="Liberation Serif" w:cs="Arial"/>
          <w:sz w:val="24"/>
          <w:szCs w:val="24"/>
        </w:rPr>
        <w:t>ationalen Recht. Hierauf sowie auf andere unerwünschte richterliche „Rechtsfortbildung“ kann der demokratische nationale Gesetzgeber aber durch eine Änderung der Gesetze reagieren, während eine Änderung oder gar Kündigung von CETA sich - wie ausgeführt - a</w:t>
      </w:r>
      <w:r>
        <w:rPr>
          <w:rFonts w:ascii="Liberation Serif" w:hAnsi="Liberation Serif" w:cs="Arial"/>
          <w:sz w:val="24"/>
          <w:szCs w:val="24"/>
        </w:rPr>
        <w:t>ls rechtlich und faktisch schwierig bis unmöglich erweisen wird.</w:t>
      </w:r>
    </w:p>
    <w:p w:rsidR="009370E5" w:rsidRDefault="00543EF0">
      <w:pPr>
        <w:rPr>
          <w:rFonts w:ascii="Liberation Serif" w:hAnsi="Liberation Serif"/>
          <w:sz w:val="24"/>
          <w:szCs w:val="24"/>
        </w:rPr>
      </w:pPr>
      <w:r>
        <w:rPr>
          <w:rFonts w:ascii="Liberation Serif" w:hAnsi="Liberation Serif" w:cs="Arial"/>
          <w:sz w:val="24"/>
          <w:szCs w:val="24"/>
        </w:rPr>
        <w:t>-</w:t>
      </w:r>
    </w:p>
    <w:p w:rsidR="009370E5" w:rsidRDefault="00543EF0">
      <w:pPr>
        <w:rPr>
          <w:rFonts w:ascii="Liberation Serif" w:hAnsi="Liberation Serif"/>
          <w:sz w:val="24"/>
          <w:szCs w:val="24"/>
        </w:rPr>
      </w:pPr>
      <w:r>
        <w:rPr>
          <w:rFonts w:ascii="Liberation Serif" w:hAnsi="Liberation Serif" w:cs="Arial"/>
          <w:sz w:val="24"/>
          <w:szCs w:val="24"/>
        </w:rPr>
        <w:t>-</w:t>
      </w:r>
    </w:p>
    <w:p w:rsidR="009370E5" w:rsidRDefault="00543EF0">
      <w:pPr>
        <w:rPr>
          <w:rFonts w:ascii="Liberation Serif" w:hAnsi="Liberation Serif"/>
          <w:sz w:val="24"/>
          <w:szCs w:val="24"/>
        </w:rPr>
      </w:pPr>
      <w:r>
        <w:rPr>
          <w:rFonts w:ascii="Liberation Serif" w:hAnsi="Liberation Serif" w:cs="Arial"/>
          <w:sz w:val="24"/>
          <w:szCs w:val="24"/>
        </w:rPr>
        <w:t>-</w:t>
      </w:r>
    </w:p>
    <w:p w:rsidR="009370E5" w:rsidRDefault="00543EF0">
      <w:pPr>
        <w:rPr>
          <w:rFonts w:ascii="Liberation Serif" w:hAnsi="Liberation Serif"/>
          <w:sz w:val="24"/>
          <w:szCs w:val="24"/>
        </w:rPr>
      </w:pPr>
      <w:r>
        <w:rPr>
          <w:rFonts w:ascii="Liberation Serif" w:hAnsi="Liberation Serif"/>
          <w:sz w:val="24"/>
          <w:szCs w:val="24"/>
        </w:rPr>
        <w:t>Mit dem so genannten Investitionsgericht und der Revisionsinstanz enthält der Vorschlag der Kommission Verbesserungen. Wichtige Fragen bleiben jedoch ungeklärt. Weder das vorgesehene Ve</w:t>
      </w:r>
      <w:r>
        <w:rPr>
          <w:rFonts w:ascii="Liberation Serif" w:hAnsi="Liberation Serif"/>
          <w:sz w:val="24"/>
          <w:szCs w:val="24"/>
        </w:rPr>
        <w:t>rfahren zur Ernennung der Richter noch deren Stellung genügen den internationalen Anforderungen an die Unabhängigkeit von Gerichten. Vor diesem Hintergrund kann man nicht von einem internationalen Gericht sprechen, sondern bestenfalls von einem ständigen S</w:t>
      </w:r>
      <w:r>
        <w:rPr>
          <w:rFonts w:ascii="Liberation Serif" w:hAnsi="Liberation Serif"/>
          <w:sz w:val="24"/>
          <w:szCs w:val="24"/>
        </w:rPr>
        <w:t>chiedsgericht.</w:t>
      </w:r>
    </w:p>
    <w:p w:rsidR="009370E5" w:rsidRDefault="00543EF0">
      <w:pPr>
        <w:rPr>
          <w:rFonts w:ascii="Liberation Serif" w:hAnsi="Liberation Serif"/>
          <w:sz w:val="24"/>
          <w:szCs w:val="24"/>
        </w:rPr>
      </w:pPr>
      <w:r>
        <w:rPr>
          <w:rFonts w:ascii="Liberation Serif" w:hAnsi="Liberation Serif"/>
          <w:sz w:val="24"/>
          <w:szCs w:val="24"/>
        </w:rPr>
        <w:t>-</w:t>
      </w:r>
    </w:p>
    <w:p w:rsidR="009370E5" w:rsidRDefault="00543EF0">
      <w:pPr>
        <w:rPr>
          <w:rFonts w:ascii="Liberation Serif" w:hAnsi="Liberation Serif"/>
          <w:sz w:val="24"/>
          <w:szCs w:val="24"/>
        </w:rPr>
      </w:pPr>
      <w:r>
        <w:rPr>
          <w:rFonts w:ascii="Liberation Serif" w:hAnsi="Liberation Serif"/>
          <w:sz w:val="24"/>
          <w:szCs w:val="24"/>
        </w:rPr>
        <w:t>-</w:t>
      </w:r>
    </w:p>
    <w:p w:rsidR="009370E5" w:rsidRDefault="00543EF0">
      <w:pPr>
        <w:rPr>
          <w:rFonts w:ascii="Liberation Serif" w:hAnsi="Liberation Serif"/>
          <w:sz w:val="24"/>
          <w:szCs w:val="24"/>
        </w:rPr>
      </w:pPr>
      <w:r>
        <w:rPr>
          <w:rFonts w:ascii="Liberation Serif" w:hAnsi="Liberation Serif"/>
          <w:sz w:val="24"/>
          <w:szCs w:val="24"/>
        </w:rPr>
        <w:t>-</w:t>
      </w:r>
    </w:p>
    <w:p w:rsidR="009370E5" w:rsidRDefault="00543EF0">
      <w:pPr>
        <w:rPr>
          <w:rFonts w:ascii="Liberation Serif" w:hAnsi="Liberation Serif"/>
          <w:sz w:val="24"/>
          <w:szCs w:val="24"/>
        </w:rPr>
      </w:pPr>
      <w:r>
        <w:rPr>
          <w:rFonts w:ascii="Liberation Serif" w:hAnsi="Liberation Serif"/>
          <w:sz w:val="24"/>
          <w:szCs w:val="24"/>
        </w:rPr>
        <w:t>Grundsätzlicher Einwand: Die Kommission hält an der exklusiven Gerichtsbarkeit für ausländische Investoren fest. Das verletzt das grundlegende Prinzip der demokratischen Gleichheit. Es gibt kein Gleichgewicht prozessualer und materiell</w:t>
      </w:r>
      <w:r>
        <w:rPr>
          <w:rFonts w:ascii="Liberation Serif" w:hAnsi="Liberation Serif"/>
          <w:sz w:val="24"/>
          <w:szCs w:val="24"/>
        </w:rPr>
        <w:t>er Rechte für Investoren und Rechtssubjekten mit anderen Interessen und Belangen. Das gilt auch für den langfristig angestrebten internationalen Handelsgerichtshof.</w:t>
      </w:r>
    </w:p>
    <w:p w:rsidR="009370E5" w:rsidRDefault="00543EF0">
      <w:pPr>
        <w:rPr>
          <w:rFonts w:ascii="Liberation Serif" w:hAnsi="Liberation Serif"/>
          <w:sz w:val="24"/>
          <w:szCs w:val="24"/>
        </w:rPr>
      </w:pPr>
      <w:r>
        <w:rPr>
          <w:rFonts w:ascii="Liberation Serif" w:hAnsi="Liberation Serif"/>
          <w:sz w:val="24"/>
          <w:szCs w:val="24"/>
        </w:rPr>
        <w:t>-</w:t>
      </w:r>
    </w:p>
    <w:p w:rsidR="009370E5" w:rsidRDefault="00543EF0">
      <w:pPr>
        <w:rPr>
          <w:rFonts w:ascii="Liberation Serif" w:hAnsi="Liberation Serif"/>
          <w:sz w:val="24"/>
          <w:szCs w:val="24"/>
        </w:rPr>
      </w:pPr>
      <w:r>
        <w:rPr>
          <w:rFonts w:ascii="Liberation Serif" w:hAnsi="Liberation Serif"/>
          <w:sz w:val="24"/>
          <w:szCs w:val="24"/>
        </w:rPr>
        <w:t>-</w:t>
      </w:r>
    </w:p>
    <w:p w:rsidR="009370E5" w:rsidRDefault="00543EF0">
      <w:pPr>
        <w:rPr>
          <w:rFonts w:ascii="Liberation Serif" w:hAnsi="Liberation Serif"/>
          <w:sz w:val="24"/>
          <w:szCs w:val="24"/>
        </w:rPr>
      </w:pPr>
      <w:r>
        <w:rPr>
          <w:rFonts w:ascii="Liberation Serif" w:hAnsi="Liberation Serif"/>
          <w:sz w:val="24"/>
          <w:szCs w:val="24"/>
        </w:rPr>
        <w:t>-</w:t>
      </w:r>
    </w:p>
    <w:p w:rsidR="009370E5" w:rsidRDefault="00543EF0">
      <w:pPr>
        <w:rPr>
          <w:rFonts w:ascii="Liberation Serif" w:hAnsi="Liberation Serif"/>
          <w:sz w:val="24"/>
          <w:szCs w:val="24"/>
        </w:rPr>
      </w:pPr>
      <w:r>
        <w:rPr>
          <w:rFonts w:ascii="Liberation Serif" w:hAnsi="Liberation Serif" w:cs="Arial"/>
          <w:sz w:val="24"/>
          <w:szCs w:val="24"/>
        </w:rPr>
        <w:t xml:space="preserve">Nach wie vor ist die ursprüngliche Position der Bundesregierung richtig, dass es </w:t>
      </w:r>
      <w:r>
        <w:rPr>
          <w:rFonts w:ascii="Liberation Serif" w:hAnsi="Liberation Serif" w:cs="Arial"/>
          <w:sz w:val="24"/>
          <w:szCs w:val="24"/>
        </w:rPr>
        <w:t>zwischen funktionierenden rechtsstaatlichen Systemen keines internationalen Investitionsschutzes bedarf.“</w:t>
      </w:r>
    </w:p>
    <w:p w:rsidR="009370E5" w:rsidRDefault="00543EF0">
      <w:pPr>
        <w:pStyle w:val="StandardWeb"/>
      </w:pPr>
      <w:r>
        <w:rPr>
          <w:rFonts w:ascii="Liberation Serif" w:hAnsi="Liberation Serif" w:cs="Arial"/>
        </w:rPr>
        <w:lastRenderedPageBreak/>
        <w:t>Mit Beschluss vom 22. April 2018 hat in Wiesbaden hat der Bundesausschuss der ASJ den Internationalen Investitionsgerichtshof nach dem Konzept des Rat</w:t>
      </w:r>
      <w:r>
        <w:rPr>
          <w:rFonts w:ascii="Liberation Serif" w:hAnsi="Liberation Serif" w:cs="Arial"/>
        </w:rPr>
        <w:t>es abgelehnt, der nach seiner Etablierung an die Stelle des CETA-Investitionsgerichtes treten soll:</w:t>
      </w:r>
      <w:r>
        <w:rPr>
          <w:rStyle w:val="Funotenanker"/>
          <w:rFonts w:ascii="Liberation Serif" w:hAnsi="Liberation Serif" w:cs="Arial"/>
        </w:rPr>
        <w:footnoteReference w:id="42"/>
      </w:r>
      <w:r>
        <w:rPr>
          <w:rFonts w:ascii="Liberation Serif" w:hAnsi="Liberation Serif" w:cs="Arial"/>
        </w:rPr>
        <w:t xml:space="preserve"> </w:t>
      </w:r>
    </w:p>
    <w:p w:rsidR="009370E5" w:rsidRDefault="00543EF0">
      <w:pPr>
        <w:pStyle w:val="StandardWeb"/>
      </w:pPr>
      <w:r>
        <w:rPr>
          <w:rFonts w:ascii="Liberation Serif" w:hAnsi="Liberation Serif" w:cs="Arial"/>
        </w:rPr>
        <w:t>„Die SPD-Abgeordneten, insbesondere im Bundestag und im Europäischen Parlament, die SPD-Mitglieder, die ein Regierungsamt innehaben, der Parteivorstand, a</w:t>
      </w:r>
      <w:r>
        <w:rPr>
          <w:rFonts w:ascii="Liberation Serif" w:hAnsi="Liberation Serif" w:cs="Arial"/>
        </w:rPr>
        <w:t>lle Funktionsträger und Mitglieder der Partei werden aufgefordert, eine multilaterale Investitionsgerichtsbarkeit nach dem Muster des vom Rat erteilten Verhandlungsmandates (veröffentlicht am 20.03.2018) abzulehnen. Ein solcher Gerichtshof kommt nur dann i</w:t>
      </w:r>
      <w:r>
        <w:rPr>
          <w:rFonts w:ascii="Liberation Serif" w:hAnsi="Liberation Serif" w:cs="Arial"/>
        </w:rPr>
        <w:t>n Betracht, wenn er ausschließlich für Investitionsabkommen zuständig ist, in denen lediglich die Inländergleichbehandlung vorgesehen ist. Das bedeutet, die Tatbestände der fairen und gerechten Behandlung, der indirekten Enteignung oder vergleichbare Tatbe</w:t>
      </w:r>
      <w:r>
        <w:rPr>
          <w:rFonts w:ascii="Liberation Serif" w:hAnsi="Liberation Serif" w:cs="Arial"/>
        </w:rPr>
        <w:t>stände dürfen nicht enthalten sein. Gleichzeitig muss klargestellt werden, dass Verletzungen von Umwelt-Arbeitnehmer-, Sozial-, und Verbraucherschutzvorschriften durch Investoren sanktioniert werden.“</w:t>
      </w:r>
    </w:p>
    <w:p w:rsidR="009370E5" w:rsidRDefault="00543EF0">
      <w:pPr>
        <w:pStyle w:val="StandardWeb"/>
        <w:rPr>
          <w:u w:val="single"/>
        </w:rPr>
      </w:pPr>
      <w:r>
        <w:rPr>
          <w:rFonts w:ascii="Liberation Serif" w:hAnsi="Liberation Serif" w:cs="Arial"/>
          <w:u w:val="single"/>
        </w:rPr>
        <w:t>Vorsorgeprinzip</w:t>
      </w:r>
    </w:p>
    <w:p w:rsidR="009370E5" w:rsidRDefault="00543EF0">
      <w:pPr>
        <w:pStyle w:val="StandardWeb"/>
      </w:pPr>
      <w:r>
        <w:rPr>
          <w:rFonts w:ascii="Liberation Serif" w:hAnsi="Liberation Serif" w:cs="Arial"/>
        </w:rPr>
        <w:t>Entgegen den Beteuerungen der damaligen</w:t>
      </w:r>
      <w:r>
        <w:rPr>
          <w:rFonts w:ascii="Liberation Serif" w:hAnsi="Liberation Serif" w:cs="Arial"/>
        </w:rPr>
        <w:t xml:space="preserve"> Handelskommissarin Cecilia Malmström, das Vorsorgeprinzip sei in CETA sicher verankert, bestätigt sich der damalige Befund der ASJ und vieler anderer Kritiker, dass das nicht der Fall ist. Auch die (eingeschränkte) Bekräftigung des Vorsorgeprinzips in der</w:t>
      </w:r>
      <w:r>
        <w:rPr>
          <w:rFonts w:ascii="Liberation Serif" w:hAnsi="Liberation Serif" w:cs="Arial"/>
        </w:rPr>
        <w:t xml:space="preserve"> Gemeinsamen Auslegungserklärung zu CETA vom 13. Oktober 2016 ändert nichts daran. </w:t>
      </w:r>
    </w:p>
    <w:p w:rsidR="009370E5" w:rsidRDefault="00543EF0">
      <w:pPr>
        <w:pStyle w:val="StandardWeb"/>
      </w:pPr>
      <w:r>
        <w:rPr>
          <w:rFonts w:ascii="Liberation Serif" w:hAnsi="Liberation Serif" w:cs="Arial"/>
        </w:rPr>
        <w:t>Nach der vorläufigen Inkraftsetzung des Großteils von CETA haben auch die Ausschüsse ihre Arbeit aufgenommen. Zwar werden Tagesordnungen und Berichte über die Ausschusssitz</w:t>
      </w:r>
      <w:r>
        <w:rPr>
          <w:rFonts w:ascii="Liberation Serif" w:hAnsi="Liberation Serif" w:cs="Arial"/>
        </w:rPr>
        <w:t>ungen veröffentlicht,</w:t>
      </w:r>
      <w:r>
        <w:rPr>
          <w:rStyle w:val="Funotenanker"/>
          <w:rFonts w:ascii="Liberation Serif" w:hAnsi="Liberation Serif" w:cs="Arial"/>
        </w:rPr>
        <w:footnoteReference w:id="43"/>
      </w:r>
      <w:r>
        <w:rPr>
          <w:rFonts w:ascii="Liberation Serif" w:hAnsi="Liberation Serif" w:cs="Arial"/>
        </w:rPr>
        <w:t xml:space="preserve"> aber der Blick hinter die Kulissen bleibt der Öffentlichkeit verwehrt. Ein wenig gelüftet hat den Schleier ein Gutachten von foodwatch und dem Council of Canadians</w:t>
      </w:r>
      <w:r>
        <w:rPr>
          <w:rStyle w:val="Funotenanker"/>
          <w:rFonts w:ascii="Liberation Serif" w:hAnsi="Liberation Serif" w:cs="Arial"/>
        </w:rPr>
        <w:footnoteReference w:id="44"/>
      </w:r>
      <w:r>
        <w:rPr>
          <w:rFonts w:ascii="Liberation Serif" w:hAnsi="Liberation Serif" w:cs="Arial"/>
        </w:rPr>
        <w:t>.</w:t>
      </w:r>
    </w:p>
    <w:p w:rsidR="009370E5" w:rsidRDefault="00543EF0">
      <w:pPr>
        <w:pStyle w:val="StandardWeb"/>
      </w:pPr>
      <w:r>
        <w:rPr>
          <w:rFonts w:ascii="Liberation Serif" w:hAnsi="Liberation Serif" w:cs="Arial"/>
        </w:rPr>
        <w:t>Über das kanadische Informationsfreiheitsgesetz ist foodwatch an da</w:t>
      </w:r>
      <w:r>
        <w:rPr>
          <w:rFonts w:ascii="Liberation Serif" w:hAnsi="Liberation Serif" w:cs="Arial"/>
        </w:rPr>
        <w:t xml:space="preserve">s 320seitige Protokoll der ersten Sitzung 2019 des Gemischten Verwaltungsausschusses für gesundheitspolizeiliche und pflanzenschutzrechtliche Maßnahmen (SPS-Ausschuss) gelangt, das, trotz vieler geschwärzter Stellen, einen - freilich kleinen - Einblick in </w:t>
      </w:r>
      <w:r>
        <w:rPr>
          <w:rFonts w:ascii="Liberation Serif" w:hAnsi="Liberation Serif" w:cs="Arial"/>
        </w:rPr>
        <w:t xml:space="preserve">das CETA-Ausschusswesen ermöglicht. </w:t>
      </w:r>
    </w:p>
    <w:p w:rsidR="009370E5" w:rsidRDefault="00543EF0">
      <w:pPr>
        <w:pStyle w:val="StandardWeb"/>
      </w:pPr>
      <w:r>
        <w:rPr>
          <w:rFonts w:ascii="Liberation Serif" w:hAnsi="Liberation Serif" w:cs="Arial"/>
        </w:rPr>
        <w:t>Die kanadischen Vertreter greifen heftig das Vorsorgeprinzip und die strikteren europäischen Regulierungen etwa zur Gentechnik, zu Hormonfleisch sowie zu Pestiziden wie Glyphosat und Picoxystrobin und anderen an. Kanadi</w:t>
      </w:r>
      <w:r>
        <w:rPr>
          <w:rFonts w:ascii="Liberation Serif" w:hAnsi="Liberation Serif" w:cs="Arial"/>
        </w:rPr>
        <w:t xml:space="preserve">sche Produzenten, die die kanadischen Ausschussvertreter antreiben,  machen deutlich, dass die Erfüllung der europäischen Vorgaben für sie zu kostenintensiv ist. </w:t>
      </w:r>
    </w:p>
    <w:p w:rsidR="009370E5" w:rsidRDefault="00543EF0">
      <w:pPr>
        <w:pStyle w:val="StandardWeb"/>
      </w:pPr>
      <w:r>
        <w:rPr>
          <w:rFonts w:ascii="Liberation Serif" w:hAnsi="Liberation Serif" w:cs="Arial"/>
        </w:rPr>
        <w:t>Neben der Einflussnahme, um konkrete Regulierungen und Grenzwerte zu mildern oder zu beseitig</w:t>
      </w:r>
      <w:r>
        <w:rPr>
          <w:rFonts w:ascii="Liberation Serif" w:hAnsi="Liberation Serif" w:cs="Arial"/>
        </w:rPr>
        <w:t>en, wird aus dem Protokoll deutlich, dass es das langfristige Ziel der kanadischen Ausschussmitglieder (und Kanadas?) ist, das europäische Vorsorgeprinzip abzuschaffen. Bei einigen Einzelregulierungen blieben die Vorstöße Kanadas letztlich im Ergebnis ohne</w:t>
      </w:r>
      <w:r>
        <w:rPr>
          <w:rFonts w:ascii="Liberation Serif" w:hAnsi="Liberation Serif" w:cs="Arial"/>
        </w:rPr>
        <w:t xml:space="preserve"> Erfolg. </w:t>
      </w:r>
      <w:r>
        <w:rPr>
          <w:rFonts w:ascii="Liberation Serif" w:hAnsi="Liberation Serif" w:cs="Arial"/>
        </w:rPr>
        <w:lastRenderedPageBreak/>
        <w:t>Aber es gelingt den kanadischen Vertretern in vielen Fällen, die Reduzierung der europäischen Regulierung zum gemeinsamen Ziel des Ausschusses zu machen. Das gilt auch für das langfristige Ziel, das Vorsorgeprinzip in Europa abzuschaffen. Dabei hi</w:t>
      </w:r>
      <w:r>
        <w:rPr>
          <w:rFonts w:ascii="Liberation Serif" w:hAnsi="Liberation Serif" w:cs="Arial"/>
        </w:rPr>
        <w:t xml:space="preserve">lft es Kanada, dass das Vorsorgeprinzip in der WTO und in CETA schwach verankert ist. Kanada wird auch bei den internen EU-Beratungen zu Regulierungen angehört. </w:t>
      </w:r>
    </w:p>
    <w:p w:rsidR="009370E5" w:rsidRDefault="00543EF0">
      <w:pPr>
        <w:pStyle w:val="StandardWeb"/>
      </w:pPr>
      <w:r>
        <w:rPr>
          <w:rFonts w:ascii="Liberation Serif" w:hAnsi="Liberation Serif" w:cs="Arial"/>
        </w:rPr>
        <w:t>Das Vorsorgeprinzip Kanadas unterscheidet sich deutlich vom europäischen. Kanada setzt sich in</w:t>
      </w:r>
      <w:r>
        <w:rPr>
          <w:rFonts w:ascii="Liberation Serif" w:hAnsi="Liberation Serif" w:cs="Arial"/>
        </w:rPr>
        <w:t>ternational an der Seite der USA für das Risikoprinzip ein. Für diese Länder ist das Vorsorgeprinzip eine unnötige Handelsbarriere. Drei Viertel des kanadischen Exports gehen in die USA. Im Rahmen des Nordamerikanischen Freihandelsabkommens zwischen USA, K</w:t>
      </w:r>
      <w:r>
        <w:rPr>
          <w:rFonts w:ascii="Liberation Serif" w:hAnsi="Liberation Serif" w:cs="Arial"/>
        </w:rPr>
        <w:t>anada und Mexiko (NAFTA) gibt es umfangreiche Aktivitäten zur regulatorischen Kooperation. Auf den dortigen Ansatz zur Konzertierung und Deregulierung verweisen die kanadischen Vertreter immer wieder und erklären, von den dortigen Ergebnissen nicht abweich</w:t>
      </w:r>
      <w:r>
        <w:rPr>
          <w:rFonts w:ascii="Liberation Serif" w:hAnsi="Liberation Serif" w:cs="Arial"/>
        </w:rPr>
        <w:t>en zu können, bzw. erst die USA konsultieren zu müssen. Damit kommt der Abschluss von CETA auch einem teilweisen Eintritt in NAFTA gleich. Mit der Neufassung von NAFTA wird sich die regulatorische Kooperation dieser Vertragspartner im Vergleich zum Zeitpun</w:t>
      </w:r>
      <w:r>
        <w:rPr>
          <w:rFonts w:ascii="Liberation Serif" w:hAnsi="Liberation Serif" w:cs="Arial"/>
        </w:rPr>
        <w:t xml:space="preserve">kt des Protokolls, 2019, noch intensivieren. </w:t>
      </w:r>
    </w:p>
    <w:p w:rsidR="009370E5" w:rsidRDefault="00543EF0">
      <w:pPr>
        <w:pStyle w:val="StandardWeb"/>
      </w:pPr>
      <w:r>
        <w:rPr>
          <w:rFonts w:ascii="Liberation Serif" w:hAnsi="Liberation Serif" w:cs="Arial"/>
        </w:rPr>
        <w:t>Kanada droht in den Verhandlungen immer wieder mit der Einleitung von Verfahren vor der WTO. Das hat es in der Vergangenheit in Bezug auf die europäische Chemikaliengesetzgebung (23mal), die Gentechnik und Horm</w:t>
      </w:r>
      <w:r>
        <w:rPr>
          <w:rFonts w:ascii="Liberation Serif" w:hAnsi="Liberation Serif" w:cs="Arial"/>
        </w:rPr>
        <w:t>onfleisch bereits getan. Da CETA noch nicht von allen Mitgliedstaaten ratifiziert ist, ist davon auszugehen, dass die robuste Gangart Kanadas im Moment noch eine Zurückhaltung darstellt, um den Ratifizierungsprozess nicht zu gefährden. Mit einer Verschärfu</w:t>
      </w:r>
      <w:r>
        <w:rPr>
          <w:rFonts w:ascii="Liberation Serif" w:hAnsi="Liberation Serif" w:cs="Arial"/>
        </w:rPr>
        <w:t>ng des Drucks und mit WTO-Verfahren ist aber nach einer Ratifizierung zu rechnen. Empirische Ergebnisse liegen leider nur zu diesem einen Ausschuss vor. Es ist allerdings mehr als Spekulation anzunehmen, dass sich die kanadische Gangart in den anderen Auss</w:t>
      </w:r>
      <w:r>
        <w:rPr>
          <w:rFonts w:ascii="Liberation Serif" w:hAnsi="Liberation Serif" w:cs="Arial"/>
        </w:rPr>
        <w:t xml:space="preserve">chüssen vom SPS-Ausschuss nicht unterscheidet. </w:t>
      </w:r>
    </w:p>
    <w:p w:rsidR="009370E5" w:rsidRDefault="00543EF0">
      <w:pPr>
        <w:pStyle w:val="StandardWeb"/>
        <w:rPr>
          <w:u w:val="single"/>
        </w:rPr>
      </w:pPr>
      <w:r>
        <w:rPr>
          <w:rFonts w:ascii="Liberation Serif" w:hAnsi="Liberation Serif" w:cs="Arial"/>
          <w:u w:val="single"/>
        </w:rPr>
        <w:t>CETA-Ausschüsse</w:t>
      </w:r>
    </w:p>
    <w:p w:rsidR="009370E5" w:rsidRDefault="00543EF0">
      <w:pPr>
        <w:rPr>
          <w:rFonts w:ascii="Liberation Serif" w:hAnsi="Liberation Serif"/>
          <w:sz w:val="24"/>
          <w:szCs w:val="24"/>
        </w:rPr>
      </w:pPr>
      <w:r>
        <w:rPr>
          <w:rFonts w:ascii="Liberation Serif" w:hAnsi="Liberation Serif"/>
          <w:sz w:val="24"/>
          <w:szCs w:val="24"/>
        </w:rPr>
        <w:t>Problembehaftet ist auch das Ausschusswesen in CETA. Sowohl die Anzahl der Ausschüsse (Treaty Committees) als auch ihre Kompetenzen haben mit den Handelsabkommen neuerer Art, beginnend mit CET</w:t>
      </w:r>
      <w:r>
        <w:rPr>
          <w:rFonts w:ascii="Liberation Serif" w:hAnsi="Liberation Serif"/>
          <w:sz w:val="24"/>
          <w:szCs w:val="24"/>
        </w:rPr>
        <w:t xml:space="preserve">A deutlich, zugenommen.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CETA hat zehn Ausschüsse, an deren Spitze der Gemischte CETA-Ausschuss (CETA Joint Committee) steht. Die Ausschüsse haben ungefähr 30 verschiedene Beschlussfassungszuständigkeiten, die teilweise sehr weitreichend sind und über tec</w:t>
      </w:r>
      <w:r>
        <w:rPr>
          <w:rFonts w:ascii="Liberation Serif" w:hAnsi="Liberation Serif"/>
          <w:sz w:val="24"/>
          <w:szCs w:val="24"/>
        </w:rPr>
        <w:t>hnische Frage hinausgehen. So kann der Gemischte CETA-Ausschuss punktuell den Vertragstext sowie Anhänge und Protokolle von CETA ändern sowie die verbindliche Auslegung einer CETA-Vorschrift vorgeben. In der Regel sind Kanada und die EU-Kommission in den A</w:t>
      </w:r>
      <w:r>
        <w:rPr>
          <w:rFonts w:ascii="Liberation Serif" w:hAnsi="Liberation Serif"/>
          <w:sz w:val="24"/>
          <w:szCs w:val="24"/>
        </w:rPr>
        <w:t xml:space="preserve">usschüssen vertreten. Manchmal sind auch nationale Vertreter vorgesehen.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sz w:val="24"/>
          <w:szCs w:val="24"/>
        </w:rPr>
        <w:t xml:space="preserve">Für einen Beschluss bedarf es der Einstimmigkeit zwischen EU und Kanada. Für die EU legt auf einen Vorschlag der Kommission der Rat gemäß Art 218 Abs. 9 AEUV den Standpunkt fest, den die EU-Kommission im jeweiligen CETA-Ausschuss zu diesem Punkt vertritt. </w:t>
      </w:r>
      <w:r>
        <w:rPr>
          <w:rFonts w:ascii="Liberation Serif" w:hAnsi="Liberation Serif"/>
          <w:sz w:val="24"/>
          <w:szCs w:val="24"/>
        </w:rPr>
        <w:t xml:space="preserve">Dieser Beschluss erfolgt mit qualifizierter Mehrheit. Aufgrund der Selbstbindung des Rates für eine Einstimmigkeit bei nationalen Angelegenheiten hat das BVerfG seine Bedenken im Hinblick auf die Verfassungsidentität, wie oben dargelegt, zurückgestellt. </w:t>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cs="Arial"/>
          <w:sz w:val="24"/>
          <w:szCs w:val="24"/>
        </w:rPr>
        <w:t xml:space="preserve">Da aber nicht nur exekutive Entscheidungen, sondern wesentliche Fragen und allgemeine Regeln in den Ausschüssen behandelt werden und Rechtssetzung dort erfolgt, wäre eine </w:t>
      </w:r>
      <w:r>
        <w:rPr>
          <w:rFonts w:ascii="Liberation Serif" w:hAnsi="Liberation Serif" w:cs="Arial"/>
          <w:sz w:val="24"/>
          <w:szCs w:val="24"/>
        </w:rPr>
        <w:lastRenderedPageBreak/>
        <w:t>Parlamentsbefassung erforderlich. Da es die nicht gibt, klafft eine Legitimationslück</w:t>
      </w:r>
      <w:r>
        <w:rPr>
          <w:rFonts w:ascii="Liberation Serif" w:hAnsi="Liberation Serif" w:cs="Arial"/>
          <w:sz w:val="24"/>
          <w:szCs w:val="24"/>
        </w:rPr>
        <w:t>e. CETA wie auch die anderen neuen Freihandelsabkommen bauen die Rechte der Exekutive aus, ohne begleitende parlamentarische Kontrollrechte nachzuziehen.</w:t>
      </w:r>
      <w:r>
        <w:rPr>
          <w:rStyle w:val="Funotenanker"/>
          <w:rFonts w:ascii="Liberation Serif" w:hAnsi="Liberation Serif" w:cs="Arial"/>
          <w:sz w:val="24"/>
          <w:szCs w:val="24"/>
        </w:rPr>
        <w:footnoteReference w:id="45"/>
      </w:r>
    </w:p>
    <w:p w:rsidR="009370E5" w:rsidRDefault="009370E5">
      <w:pPr>
        <w:rPr>
          <w:rFonts w:ascii="Liberation Serif" w:hAnsi="Liberation Serif"/>
          <w:sz w:val="24"/>
          <w:szCs w:val="24"/>
        </w:rPr>
      </w:pPr>
    </w:p>
    <w:p w:rsidR="009370E5" w:rsidRDefault="00543EF0">
      <w:pPr>
        <w:rPr>
          <w:rFonts w:ascii="Liberation Serif" w:hAnsi="Liberation Serif"/>
          <w:sz w:val="24"/>
          <w:szCs w:val="24"/>
        </w:rPr>
      </w:pPr>
      <w:r>
        <w:rPr>
          <w:rFonts w:ascii="Liberation Serif" w:hAnsi="Liberation Serif" w:cs="Arial"/>
          <w:sz w:val="24"/>
          <w:szCs w:val="24"/>
        </w:rPr>
        <w:t>Die bindende Auslegung, die der Entwurf zum Ratifizierungsgesetz anstrebt, soll auch enthalten, dass</w:t>
      </w:r>
      <w:r>
        <w:rPr>
          <w:rFonts w:ascii="Liberation Serif" w:hAnsi="Liberation Serif" w:cs="Arial"/>
          <w:sz w:val="24"/>
          <w:szCs w:val="24"/>
        </w:rPr>
        <w:t xml:space="preserve"> sich </w:t>
      </w:r>
      <w:bookmarkStart w:id="38" w:name="page9R_mcid72"/>
      <w:bookmarkEnd w:id="38"/>
      <w:r>
        <w:rPr>
          <w:rFonts w:ascii="Liberation Serif" w:hAnsi="Liberation Serif" w:cs="Arial"/>
          <w:sz w:val="24"/>
          <w:szCs w:val="24"/>
        </w:rPr>
        <w:t>die „Bundesregierung für eine Stärkung der Rolle des Europäischen Parlamentes im Rahmen der regulatorischen Kooperation“ einsetzt.</w:t>
      </w:r>
      <w:r>
        <w:rPr>
          <w:rStyle w:val="Funotenanker"/>
          <w:rFonts w:ascii="Liberation Serif" w:hAnsi="Liberation Serif" w:cs="Arial"/>
          <w:sz w:val="24"/>
          <w:szCs w:val="24"/>
        </w:rPr>
        <w:footnoteReference w:id="46"/>
      </w:r>
      <w:r>
        <w:rPr>
          <w:rFonts w:ascii="Liberation Serif" w:hAnsi="Liberation Serif" w:cs="Arial"/>
          <w:sz w:val="24"/>
          <w:szCs w:val="24"/>
        </w:rPr>
        <w:t xml:space="preserve"> Erforderlich ist es aber auch, auf die Befugnisse der Ausschüsse und insbesondere des Gemischten CETA-Ausschusses abzu</w:t>
      </w:r>
      <w:r>
        <w:rPr>
          <w:rFonts w:ascii="Liberation Serif" w:hAnsi="Liberation Serif" w:cs="Arial"/>
          <w:sz w:val="24"/>
          <w:szCs w:val="24"/>
        </w:rPr>
        <w:t xml:space="preserve">heben, in denen wesentliche Fragen und allgemeine Regeln behandelt werden und Rechtsetzung erfolgt, und an dieser Stelle mit einem Parlamentsvorbehalt anzusetzen. </w:t>
      </w:r>
    </w:p>
    <w:p w:rsidR="009370E5" w:rsidRDefault="00543EF0">
      <w:pPr>
        <w:pStyle w:val="StandardWeb"/>
        <w:rPr>
          <w:u w:val="single"/>
        </w:rPr>
      </w:pPr>
      <w:r>
        <w:rPr>
          <w:u w:val="single"/>
        </w:rPr>
        <w:t>Daseinsvorsorge</w:t>
      </w:r>
    </w:p>
    <w:p w:rsidR="009370E5" w:rsidRDefault="00543EF0">
      <w:pPr>
        <w:pStyle w:val="StandardWeb"/>
        <w:rPr>
          <w:rFonts w:ascii="Liberation Serif" w:hAnsi="Liberation Serif"/>
        </w:rPr>
      </w:pPr>
      <w:r>
        <w:rPr>
          <w:rFonts w:ascii="Liberation Serif" w:hAnsi="Liberation Serif"/>
        </w:rPr>
        <w:t>Die SPD hat gefordert, die Bereiche in CETA explizit aufzuführen, für die Ma</w:t>
      </w:r>
      <w:r>
        <w:rPr>
          <w:rFonts w:ascii="Liberation Serif" w:hAnsi="Liberation Serif"/>
        </w:rPr>
        <w:t>rktöffnungen vorgesehen werden sollen und diese in einer sogenannten Positivliste festzuhalten. CETA folgt aber einem Negativlistenansatz. Das bedeutet, dass nur die Bereiche von Marktöffnungen ausgenommen werden, die explizit im Vertrag und seinen Anhänge</w:t>
      </w:r>
      <w:r>
        <w:rPr>
          <w:rFonts w:ascii="Liberation Serif" w:hAnsi="Liberation Serif"/>
        </w:rPr>
        <w:t xml:space="preserve">n benannt sind. </w:t>
      </w:r>
    </w:p>
    <w:p w:rsidR="009370E5" w:rsidRDefault="00543EF0">
      <w:pPr>
        <w:pStyle w:val="StandardWeb"/>
        <w:rPr>
          <w:rFonts w:ascii="Liberation Serif" w:hAnsi="Liberation Serif"/>
        </w:rPr>
      </w:pPr>
      <w:r>
        <w:rPr>
          <w:rFonts w:ascii="Liberation Serif" w:hAnsi="Liberation Serif"/>
        </w:rPr>
        <w:t>Das führt zu großer Unklarheit und Rechtsunsicherheit, wie weit die Ausnahmen von der Marktöffnung tatsächlich gezogen sind.</w:t>
      </w:r>
      <w:r>
        <w:rPr>
          <w:rStyle w:val="Funotenanker"/>
          <w:rFonts w:ascii="Liberation Serif" w:hAnsi="Liberation Serif"/>
        </w:rPr>
        <w:footnoteReference w:id="47"/>
      </w:r>
      <w:r>
        <w:rPr>
          <w:rFonts w:ascii="Liberation Serif" w:hAnsi="Liberation Serif"/>
        </w:rPr>
        <w:t xml:space="preserve"> </w:t>
      </w:r>
    </w:p>
    <w:p w:rsidR="009370E5" w:rsidRDefault="00543EF0">
      <w:pPr>
        <w:pStyle w:val="StandardWeb"/>
        <w:rPr>
          <w:rFonts w:ascii="Liberation Serif" w:hAnsi="Liberation Serif"/>
        </w:rPr>
      </w:pPr>
      <w:r>
        <w:rPr>
          <w:rFonts w:ascii="Liberation Serif" w:hAnsi="Liberation Serif"/>
        </w:rPr>
        <w:t xml:space="preserve">Die in CETA gewählten Vorkehrungen zum Schutz der Daseinsvorsorge sind lückenhaft, die ohnehin bestehende große </w:t>
      </w:r>
      <w:r>
        <w:rPr>
          <w:rFonts w:ascii="Liberation Serif" w:hAnsi="Liberation Serif"/>
        </w:rPr>
        <w:t>Rechtsunsicherheit wird noch verstärkt, die Schwächung der lokalen Demokratie und eine potentielle Beschränkung des kommunalen Handlungsspielraumes wird bewirkt.</w:t>
      </w:r>
      <w:r>
        <w:rPr>
          <w:rStyle w:val="Funotenanker"/>
          <w:rFonts w:ascii="Liberation Serif" w:hAnsi="Liberation Serif"/>
        </w:rPr>
        <w:footnoteReference w:id="48"/>
      </w:r>
    </w:p>
    <w:p w:rsidR="009370E5" w:rsidRDefault="00543EF0">
      <w:pPr>
        <w:pStyle w:val="StandardWeb"/>
        <w:rPr>
          <w:rFonts w:ascii="Liberation Serif" w:hAnsi="Liberation Serif"/>
        </w:rPr>
      </w:pPr>
      <w:r>
        <w:rPr>
          <w:rFonts w:ascii="Liberation Serif" w:hAnsi="Liberation Serif"/>
        </w:rPr>
        <w:t xml:space="preserve">Zudem wird der Digitalisierung kaum Rechnung getragen, so dass viele der Formulierungen zum </w:t>
      </w:r>
      <w:r>
        <w:rPr>
          <w:rFonts w:ascii="Liberation Serif" w:hAnsi="Liberation Serif"/>
        </w:rPr>
        <w:t>Schutz der Daseinsvorsorge ins Leere laufen könnten: „Es verändert sich aufgrund der Digitalisierung gerade vieles – nicht nur bei den Unternehmen, sondern auch in der Gesellschaft. Dieser Vertrag wird bald Makulatur sein, weil wir vor ganz neuen, digitale</w:t>
      </w:r>
      <w:r>
        <w:rPr>
          <w:rFonts w:ascii="Liberation Serif" w:hAnsi="Liberation Serif"/>
        </w:rPr>
        <w:t>n Herausforderungen stehen, für die es dann keine Regelungen gibt. Die Digitalisierung überlagert die physische Bereitstellung von Dienstleistungen. Dies verursacht eine große Veränderungsdynamik. Zwar gibt es einige Vorschriften im CETA zu diesem Bereich,</w:t>
      </w:r>
      <w:r>
        <w:rPr>
          <w:rFonts w:ascii="Liberation Serif" w:hAnsi="Liberation Serif"/>
        </w:rPr>
        <w:t xml:space="preserve"> die in der Tat erst im Rahmen der Nachverhandlungen eingefügt wurden, etwa der Anhang 9-B. Aber das sind kleine Änderungen, die lediglich ergänzenden Charakter haben.“</w:t>
      </w:r>
      <w:r>
        <w:rPr>
          <w:rStyle w:val="Funotenanker"/>
          <w:rFonts w:ascii="Liberation Serif" w:hAnsi="Liberation Serif"/>
        </w:rPr>
        <w:footnoteReference w:id="49"/>
      </w:r>
    </w:p>
    <w:p w:rsidR="009370E5" w:rsidRDefault="00543EF0">
      <w:pPr>
        <w:pStyle w:val="StandardWeb"/>
        <w:rPr>
          <w:rFonts w:ascii="Liberation Serif" w:hAnsi="Liberation Serif"/>
          <w:u w:val="single"/>
        </w:rPr>
      </w:pPr>
      <w:r>
        <w:rPr>
          <w:rFonts w:ascii="Liberation Serif" w:hAnsi="Liberation Serif"/>
          <w:u w:val="single"/>
        </w:rPr>
        <w:t>Sanktionierbarkeit der Arbeits- und Umweltkapitel</w:t>
      </w:r>
    </w:p>
    <w:p w:rsidR="009370E5" w:rsidRDefault="00543EF0">
      <w:pPr>
        <w:spacing w:line="276" w:lineRule="auto"/>
        <w:rPr>
          <w:rFonts w:ascii="Liberation Serif;Times New Roma" w:hAnsi="Liberation Serif;Times New Roma" w:cs="Liberation Serif;Times New Roma"/>
          <w:sz w:val="24"/>
          <w:szCs w:val="24"/>
        </w:rPr>
      </w:pPr>
      <w:bookmarkStart w:id="39" w:name="page3R_mcid81"/>
      <w:bookmarkEnd w:id="39"/>
      <w:r>
        <w:rPr>
          <w:rFonts w:ascii="Liberation Serif" w:hAnsi="Liberation Serif" w:cs="Arial"/>
          <w:sz w:val="24"/>
          <w:szCs w:val="24"/>
        </w:rPr>
        <w:t>Das Problem der Sanktionierbarkeit d</w:t>
      </w:r>
      <w:r>
        <w:rPr>
          <w:rFonts w:ascii="Liberation Serif" w:hAnsi="Liberation Serif" w:cs="Arial"/>
          <w:sz w:val="24"/>
          <w:szCs w:val="24"/>
        </w:rPr>
        <w:t xml:space="preserve">er Vorschriften im Arbeits- und Umweltkapitel wurde bereits oben angeführt. Mit der neuen Strategie der EU-Kommission und der neuen Handelspolitik der Bundesregierung bietet sich nun die Chance, das im Gemeinsamen </w:t>
      </w:r>
      <w:r>
        <w:rPr>
          <w:rFonts w:ascii="Liberation Serif" w:hAnsi="Liberation Serif" w:cs="Arial"/>
          <w:sz w:val="24"/>
          <w:szCs w:val="24"/>
        </w:rPr>
        <w:lastRenderedPageBreak/>
        <w:t>Auslegungsinstrument zu CETA von 2016 gege</w:t>
      </w:r>
      <w:r>
        <w:rPr>
          <w:rFonts w:ascii="Liberation Serif" w:hAnsi="Liberation Serif" w:cs="Arial"/>
          <w:sz w:val="24"/>
          <w:szCs w:val="24"/>
        </w:rPr>
        <w:t xml:space="preserve">bene Versprechen der Sanktionierbarkeit in diesem Bereich auch für CETA einzulösen. Eine Ratifizierung von CETA sollte ohne dieses nicht erfolgen. </w:t>
      </w:r>
    </w:p>
    <w:sectPr w:rsidR="009370E5">
      <w:headerReference w:type="default" r:id="rId8"/>
      <w:footerReference w:type="default" r:id="rId9"/>
      <w:headerReference w:type="first" r:id="rId10"/>
      <w:footerReference w:type="first" r:id="rId11"/>
      <w:pgSz w:w="11906" w:h="16838"/>
      <w:pgMar w:top="1134" w:right="1418" w:bottom="959" w:left="1418" w:header="720" w:footer="902" w:gutter="0"/>
      <w:lnNumType w:countBy="1" w:distance="283" w:restart="continuous"/>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EF0" w:rsidRDefault="00543EF0">
      <w:r>
        <w:separator/>
      </w:r>
    </w:p>
  </w:endnote>
  <w:endnote w:type="continuationSeparator" w:id="0">
    <w:p w:rsidR="00543EF0" w:rsidRDefault="0054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Garamond">
    <w:panose1 w:val="02020404030301010803"/>
    <w:charset w:val="00"/>
    <w:family w:val="roman"/>
    <w:pitch w:val="variable"/>
    <w:sig w:usb0="00000287" w:usb1="00000000" w:usb2="00000000" w:usb3="00000000" w:csb0="0000009F" w:csb1="00000000"/>
  </w:font>
  <w:font w:name="SPD 2002 TheSans">
    <w:charset w:val="01"/>
    <w:family w:val="roman"/>
    <w:pitch w:val="variable"/>
  </w:font>
  <w:font w:name="Futura Md BT">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Medium">
    <w:altName w:val="Century Gothic"/>
    <w:charset w:val="01"/>
    <w:family w:val="roman"/>
    <w:pitch w:val="variable"/>
  </w:font>
  <w:font w:name="FreeSans">
    <w:altName w:val="Cambria"/>
    <w:charset w:val="01"/>
    <w:family w:val="roman"/>
    <w:pitch w:val="variable"/>
  </w:font>
  <w:font w:name="Noto Sans CJK SC Regular">
    <w:charset w:val="01"/>
    <w:family w:val="roman"/>
    <w:pitch w:val="variable"/>
  </w:font>
  <w:font w:name="DejaVu Sans">
    <w:panose1 w:val="00000000000000000000"/>
    <w:charset w:val="00"/>
    <w:family w:val="roman"/>
    <w:notTrueType/>
    <w:pitch w:val="default"/>
  </w:font>
  <w:font w:name="Liberation Sans">
    <w:panose1 w:val="00000000000000000000"/>
    <w:charset w:val="00"/>
    <w:family w:val="roman"/>
    <w:notTrueType/>
    <w:pitch w:val="default"/>
  </w:font>
  <w:font w:name="Liberation Serif">
    <w:altName w:val="Times New Roman"/>
    <w:charset w:val="01"/>
    <w:family w:val="roman"/>
    <w:pitch w:val="variable"/>
  </w:font>
  <w:font w:name="Liberation Serif;Times New Roma">
    <w:altName w:val="Times New Roman"/>
    <w:panose1 w:val="00000000000000000000"/>
    <w:charset w:val="00"/>
    <w:family w:val="roman"/>
    <w:notTrueType/>
    <w:pitch w:val="default"/>
  </w:font>
  <w:font w:name="sans-serif">
    <w:altName w:val="Arial"/>
    <w:charset w:val="01"/>
    <w:family w:val="roman"/>
    <w:pitch w:val="variable"/>
  </w:font>
  <w:font w:name="Univers (W1)">
    <w:altName w:val="Univers"/>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054626"/>
      <w:docPartObj>
        <w:docPartGallery w:val="Page Numbers (Bottom of Page)"/>
        <w:docPartUnique/>
      </w:docPartObj>
    </w:sdtPr>
    <w:sdtEndPr/>
    <w:sdtContent>
      <w:p w:rsidR="009370E5" w:rsidRDefault="00543EF0">
        <w:pPr>
          <w:pStyle w:val="Fuzeile"/>
          <w:jc w:val="center"/>
        </w:pPr>
        <w:r>
          <w:fldChar w:fldCharType="begin"/>
        </w:r>
        <w:r>
          <w:instrText>PAGE</w:instrText>
        </w:r>
        <w:r>
          <w:fldChar w:fldCharType="separate"/>
        </w:r>
        <w:r>
          <w:t>17</w:t>
        </w:r>
        <w:r>
          <w:fldChar w:fldCharType="end"/>
        </w:r>
      </w:p>
    </w:sdtContent>
  </w:sdt>
  <w:p w:rsidR="009370E5" w:rsidRDefault="009370E5">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E5" w:rsidRDefault="009370E5">
    <w:pPr>
      <w:pStyle w:val="Fuzeile"/>
    </w:pPr>
  </w:p>
  <w:p w:rsidR="009370E5" w:rsidRDefault="009370E5">
    <w:pPr>
      <w:pStyle w:val="Fuzeile"/>
    </w:pPr>
  </w:p>
  <w:p w:rsidR="009370E5" w:rsidRDefault="009370E5">
    <w:pPr>
      <w:pStyle w:val="Fuzeile"/>
    </w:pPr>
  </w:p>
  <w:p w:rsidR="009370E5" w:rsidRDefault="00543EF0">
    <w:pPr>
      <w:pStyle w:val="Fuzeile"/>
      <w:jc w:val="center"/>
    </w:pPr>
    <w:r>
      <w:t xml:space="preserve">- </w:t>
    </w:r>
    <w:r>
      <w:fldChar w:fldCharType="begin"/>
    </w:r>
    <w:r>
      <w:instrText>PAGE</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EF0" w:rsidRDefault="00543EF0">
      <w:pPr>
        <w:rPr>
          <w:sz w:val="12"/>
        </w:rPr>
      </w:pPr>
      <w:r>
        <w:separator/>
      </w:r>
    </w:p>
  </w:footnote>
  <w:footnote w:type="continuationSeparator" w:id="0">
    <w:p w:rsidR="00543EF0" w:rsidRDefault="00543EF0">
      <w:pPr>
        <w:rPr>
          <w:sz w:val="12"/>
        </w:rPr>
      </w:pPr>
      <w:r>
        <w:continuationSeparator/>
      </w:r>
    </w:p>
  </w:footnote>
  <w:footnote w:id="1">
    <w:p w:rsidR="009370E5" w:rsidRDefault="00543EF0">
      <w:pPr>
        <w:pStyle w:val="Textkrper"/>
        <w:spacing w:after="140" w:line="276" w:lineRule="auto"/>
      </w:pPr>
      <w:r>
        <w:rPr>
          <w:rStyle w:val="Funotenzeichen"/>
        </w:rPr>
        <w:footnoteRef/>
      </w:r>
      <w:r>
        <w:rPr>
          <w:sz w:val="20"/>
        </w:rPr>
        <w:t xml:space="preserve"> </w:t>
      </w:r>
      <w:r>
        <w:rPr>
          <w:rStyle w:val="Starkbetont"/>
          <w:rFonts w:ascii="Liberation Serif" w:hAnsi="Liberation Serif"/>
          <w:b w:val="0"/>
          <w:bCs w:val="0"/>
          <w:sz w:val="20"/>
        </w:rPr>
        <w:t>BVerfG, Urteil des Zweiten Senats vom 13. Oktober 2016 - 2 BvR 1368/16 -, Rn. 1-73,</w:t>
      </w:r>
      <w:r>
        <w:rPr>
          <w:rStyle w:val="Starkbetont"/>
          <w:rFonts w:ascii="Liberation Serif" w:hAnsi="Liberation Serif"/>
          <w:b w:val="0"/>
          <w:bCs w:val="0"/>
          <w:sz w:val="20"/>
        </w:rPr>
        <w:br/>
      </w:r>
      <w:hyperlink r:id="rId1" w:tgtFrame="_blank">
        <w:r>
          <w:rPr>
            <w:rStyle w:val="Internetverknpfung"/>
            <w:rFonts w:ascii="Liberation Serif" w:hAnsi="Liberation Serif"/>
            <w:sz w:val="20"/>
          </w:rPr>
          <w:t>http://www.bverfg.de/e/rs20161013_2bvr136816.html</w:t>
        </w:r>
      </w:hyperlink>
    </w:p>
  </w:footnote>
  <w:footnote w:id="2">
    <w:p w:rsidR="009370E5" w:rsidRDefault="00543EF0">
      <w:pPr>
        <w:pStyle w:val="Textkrper"/>
        <w:spacing w:after="140" w:line="276" w:lineRule="auto"/>
      </w:pPr>
      <w:r>
        <w:rPr>
          <w:rStyle w:val="Funotenzeichen"/>
        </w:rPr>
        <w:footnoteRef/>
      </w:r>
      <w:r>
        <w:rPr>
          <w:sz w:val="20"/>
        </w:rPr>
        <w:t xml:space="preserve"> </w:t>
      </w:r>
      <w:r>
        <w:rPr>
          <w:rStyle w:val="Starkbetont"/>
          <w:rFonts w:ascii="Liberation Serif" w:hAnsi="Liberation Serif"/>
          <w:b w:val="0"/>
          <w:bCs w:val="0"/>
          <w:sz w:val="20"/>
        </w:rPr>
        <w:t>BVerfG, Beschluss des Zweiten Senats vom 09. Februar 2022 - 2 BvR 1368/16 -, Rn. 1-197,</w:t>
      </w:r>
      <w:r>
        <w:rPr>
          <w:rStyle w:val="Starkbetont"/>
          <w:rFonts w:ascii="Liberation Serif" w:hAnsi="Liberation Serif"/>
          <w:b w:val="0"/>
          <w:bCs w:val="0"/>
          <w:sz w:val="20"/>
        </w:rPr>
        <w:br/>
      </w:r>
      <w:hyperlink r:id="rId2" w:tgtFrame="_blank">
        <w:r>
          <w:rPr>
            <w:rStyle w:val="Internetverknpfung"/>
            <w:rFonts w:ascii="Liberation Serif" w:hAnsi="Liberation Serif"/>
            <w:sz w:val="20"/>
          </w:rPr>
          <w:t>http://www.bverfg.de/e/rs20220209_2bvr136816.html</w:t>
        </w:r>
      </w:hyperlink>
    </w:p>
  </w:footnote>
  <w:footnote w:id="3">
    <w:p w:rsidR="009370E5" w:rsidRDefault="00543EF0">
      <w:pPr>
        <w:pStyle w:val="Funotentext"/>
      </w:pPr>
      <w:r>
        <w:rPr>
          <w:rStyle w:val="Funotenzeichen"/>
        </w:rPr>
        <w:footnoteRef/>
      </w:r>
      <w:r>
        <w:t xml:space="preserve"> </w:t>
      </w:r>
      <w:r>
        <w:rPr>
          <w:rStyle w:val="Starkbetont"/>
          <w:rFonts w:ascii="Liberation Serif" w:hAnsi="Liberation Serif"/>
          <w:b w:val="0"/>
          <w:bCs w:val="0"/>
        </w:rPr>
        <w:t>General Secretariat of the Council, Comprehensive Economic and Trade Agreement (CETA) between Canada, of the one part, and the European Union and its Member Sta</w:t>
      </w:r>
      <w:r>
        <w:rPr>
          <w:rStyle w:val="Starkbetont"/>
          <w:rFonts w:ascii="Liberation Serif" w:hAnsi="Liberation Serif"/>
          <w:b w:val="0"/>
          <w:bCs w:val="0"/>
        </w:rPr>
        <w:t>tes, of the other part– Statements to the Council minutes, Brussels, 27 October 2016, 13463/1/16 https://data.consilium.europa.eu/doc/document/ST-13463-2016-REV-1/en/pdf</w:t>
      </w:r>
    </w:p>
  </w:footnote>
  <w:footnote w:id="4">
    <w:p w:rsidR="009370E5" w:rsidRDefault="00543EF0">
      <w:pPr>
        <w:pStyle w:val="Funotentext"/>
      </w:pPr>
      <w:r>
        <w:rPr>
          <w:rStyle w:val="Funotenzeichen"/>
        </w:rPr>
        <w:footnoteRef/>
      </w:r>
      <w:r>
        <w:t xml:space="preserve"> </w:t>
      </w:r>
      <w:r>
        <w:rPr>
          <w:rFonts w:ascii="Liberation Serif" w:hAnsi="Liberation Serif"/>
        </w:rPr>
        <w:t xml:space="preserve">Krajewski, Markus, Vorlaufig teilweise verfassungskonform. </w:t>
      </w:r>
      <w:r>
        <w:rPr>
          <w:rFonts w:ascii="Liberation Serif" w:hAnsi="Liberation Serif"/>
        </w:rPr>
        <w:t>Zum CETA-Beschluss des Bu</w:t>
      </w:r>
      <w:r>
        <w:rPr>
          <w:rFonts w:ascii="Liberation Serif" w:hAnsi="Liberation Serif"/>
        </w:rPr>
        <w:t xml:space="preserve">ndesverfassungsgerichts, Verfassungsblog, 17. März 2022, </w:t>
      </w:r>
      <w:hyperlink r:id="rId3">
        <w:r>
          <w:rPr>
            <w:rStyle w:val="Internetverknpfung"/>
            <w:rFonts w:ascii="Liberation Serif" w:hAnsi="Liberation Serif"/>
          </w:rPr>
          <w:t>https://verfassungsblog.de/vorlaufig-teilweise-</w:t>
        </w:r>
      </w:hyperlink>
      <w:r>
        <w:rPr>
          <w:rFonts w:ascii="Liberation Serif" w:hAnsi="Liberation Serif"/>
        </w:rPr>
        <w:t>verfassungskonform/</w:t>
      </w:r>
    </w:p>
  </w:footnote>
  <w:footnote w:id="5">
    <w:p w:rsidR="009370E5" w:rsidRDefault="00543EF0">
      <w:pPr>
        <w:pStyle w:val="Funotentext"/>
      </w:pPr>
      <w:r>
        <w:rPr>
          <w:rStyle w:val="Funotenzeichen"/>
        </w:rPr>
        <w:footnoteRef/>
      </w:r>
      <w:r>
        <w:t xml:space="preserve"> </w:t>
      </w:r>
      <w:r>
        <w:rPr>
          <w:rFonts w:ascii="Liberation Serif" w:hAnsi="Liberation Serif"/>
        </w:rPr>
        <w:t xml:space="preserve">Koalitionsvertrag 2021 – 2025, </w:t>
      </w:r>
      <w:r>
        <w:rPr>
          <w:rFonts w:ascii="Liberation Serif" w:hAnsi="Liberation Serif"/>
        </w:rPr>
        <w:t xml:space="preserve">Mehr Fortschritt wagen, Bündnis </w:t>
      </w:r>
      <w:r>
        <w:rPr>
          <w:rFonts w:ascii="Liberation Serif" w:hAnsi="Liberation Serif"/>
        </w:rPr>
        <w:t xml:space="preserve">für Freiheit, Gerechtigkeit und Nachhaltigkeit, Berlin, den 7. Dezember 2021, S. 28 </w:t>
      </w:r>
      <w:hyperlink r:id="rId4">
        <w:r>
          <w:rPr>
            <w:rStyle w:val="Internetverknpfung"/>
            <w:rFonts w:ascii="Liberation Serif" w:hAnsi="Liberation Serif"/>
          </w:rPr>
          <w:t>https://www.spd.de/fileadmin/Dokumente/Koalitionsvertrag/Koaliti</w:t>
        </w:r>
        <w:r>
          <w:rPr>
            <w:rStyle w:val="Internetverknpfung"/>
            <w:rFonts w:ascii="Liberation Serif" w:hAnsi="Liberation Serif"/>
          </w:rPr>
          <w:t>onsvertrag_2021-2025.pdf</w:t>
        </w:r>
      </w:hyperlink>
    </w:p>
  </w:footnote>
  <w:footnote w:id="6">
    <w:p w:rsidR="009370E5" w:rsidRDefault="00543EF0">
      <w:pPr>
        <w:pStyle w:val="Funotentext"/>
      </w:pPr>
      <w:r>
        <w:rPr>
          <w:rStyle w:val="Funotenzeichen"/>
        </w:rPr>
        <w:footnoteRef/>
      </w:r>
      <w:r>
        <w:t xml:space="preserve"> </w:t>
      </w:r>
      <w:r>
        <w:rPr>
          <w:rFonts w:ascii="Liberation Serif" w:hAnsi="Liberation Serif"/>
        </w:rPr>
        <w:t xml:space="preserve">Handelsagenda der Ampel </w:t>
      </w:r>
      <w:r>
        <w:rPr>
          <w:rFonts w:ascii="Liberation Serif" w:hAnsi="Liberation Serif"/>
        </w:rPr>
        <w:t xml:space="preserve">vom 23. Juni 2022 (von Bündnis 90/Die Grünen veröffentlicht), </w:t>
      </w:r>
      <w:hyperlink r:id="rId5">
        <w:r>
          <w:rPr>
            <w:rStyle w:val="Internetverknpfung"/>
            <w:rFonts w:ascii="Liberation Serif" w:hAnsi="Liberation Serif"/>
          </w:rPr>
          <w:t>h</w:t>
        </w:r>
      </w:hyperlink>
      <w:hyperlink r:id="rId6">
        <w:r>
          <w:rPr>
            <w:rStyle w:val="Internetverknpfung"/>
            <w:rFonts w:ascii="Liberation Serif" w:hAnsi="Liberation Serif"/>
          </w:rPr>
          <w:t>ttps://www.gruene-bundestag.de/fileadmin/media/gruenebundestag_de/themen_az/freihandel/</w:t>
        </w:r>
      </w:hyperlink>
      <w:r>
        <w:rPr>
          <w:rFonts w:ascii="Liberation Serif" w:hAnsi="Liberation Serif"/>
        </w:rPr>
        <w:t>220623_Handelsagenda-Positionspapier.pdf</w:t>
      </w:r>
    </w:p>
  </w:footnote>
  <w:footnote w:id="7">
    <w:p w:rsidR="009370E5" w:rsidRDefault="00543EF0">
      <w:pPr>
        <w:pStyle w:val="Funotentext"/>
      </w:pPr>
      <w:r>
        <w:rPr>
          <w:rStyle w:val="Funotenzeichen"/>
        </w:rPr>
        <w:footnoteRef/>
      </w:r>
      <w:r>
        <w:t xml:space="preserve"> </w:t>
      </w:r>
      <w:r>
        <w:rPr>
          <w:rFonts w:ascii="Liberation Serif" w:hAnsi="Liberation Serif"/>
        </w:rPr>
        <w:t>Eckpunktepapier „Han</w:t>
      </w:r>
      <w:r>
        <w:rPr>
          <w:rFonts w:ascii="Liberation Serif" w:hAnsi="Liberation Serif"/>
        </w:rPr>
        <w:t xml:space="preserve">delspolitik der Bundesregierung“, </w:t>
      </w:r>
      <w:hyperlink r:id="rId7">
        <w:r>
          <w:rPr>
            <w:rStyle w:val="Internetverknpfung"/>
            <w:rFonts w:ascii="Liberation Serif" w:hAnsi="Liberation Serif"/>
          </w:rPr>
          <w:t>https://www.bmwk.de/Redaktion/DE/Downloads/E/eckpunktpapier-handelsagenda.pdf</w:t>
        </w:r>
      </w:hyperlink>
      <w:r>
        <w:rPr>
          <w:rFonts w:ascii="Liberation Serif" w:hAnsi="Liberation Serif"/>
        </w:rPr>
        <w:t>?__blob=publicationFile&amp;v=4</w:t>
      </w:r>
    </w:p>
  </w:footnote>
  <w:footnote w:id="8">
    <w:p w:rsidR="009370E5" w:rsidRDefault="00543EF0">
      <w:pPr>
        <w:pStyle w:val="Textkrper"/>
        <w:spacing w:after="140"/>
        <w:rPr>
          <w:sz w:val="20"/>
        </w:rPr>
      </w:pPr>
      <w:r>
        <w:rPr>
          <w:rStyle w:val="Funotenzeichen"/>
        </w:rPr>
        <w:footnoteRef/>
      </w:r>
      <w:r>
        <w:rPr>
          <w:sz w:val="20"/>
        </w:rPr>
        <w:t xml:space="preserve"> </w:t>
      </w:r>
      <w:r>
        <w:rPr>
          <w:rFonts w:ascii="Liberation Serif" w:hAnsi="Liberation Serif"/>
          <w:sz w:val="20"/>
        </w:rPr>
        <w:t>Nach CETA auch Mer</w:t>
      </w:r>
      <w:r>
        <w:rPr>
          <w:rFonts w:ascii="Liberation Serif" w:hAnsi="Liberation Serif"/>
          <w:sz w:val="20"/>
        </w:rPr>
        <w:t xml:space="preserve">cosur? Brüssel und Berlin machen Tempo bei Handelsabkommen, Handelsblatt vom 8. 7. 2022 </w:t>
      </w:r>
      <w:hyperlink r:id="rId8">
        <w:r>
          <w:rPr>
            <w:rStyle w:val="Internetverknpfung"/>
            <w:rFonts w:ascii="Liberation Serif" w:hAnsi="Liberation Serif"/>
            <w:sz w:val="20"/>
          </w:rPr>
          <w:t>https://www.handelsblatt.com/politik/deutschland/fr</w:t>
        </w:r>
        <w:r>
          <w:rPr>
            <w:rStyle w:val="Internetverknpfung"/>
            <w:rFonts w:ascii="Liberation Serif" w:hAnsi="Liberation Serif"/>
            <w:sz w:val="20"/>
          </w:rPr>
          <w:t>eihandel-nach-ceta-auch-mercosur-bruessel-und-</w:t>
        </w:r>
      </w:hyperlink>
      <w:r>
        <w:rPr>
          <w:rFonts w:ascii="Liberation Serif" w:hAnsi="Liberation Serif"/>
          <w:sz w:val="20"/>
        </w:rPr>
        <w:t>berlin-machen-tempo-bei-handelsabkommen/28490434.html</w:t>
      </w:r>
    </w:p>
  </w:footnote>
  <w:footnote w:id="9">
    <w:p w:rsidR="009370E5" w:rsidRDefault="00543EF0">
      <w:pPr>
        <w:pStyle w:val="Funotentext"/>
      </w:pPr>
      <w:r>
        <w:rPr>
          <w:rStyle w:val="Funotenzeichen"/>
        </w:rPr>
        <w:footnoteRef/>
      </w:r>
      <w:r>
        <w:t xml:space="preserve"> </w:t>
      </w:r>
      <w:r>
        <w:rPr>
          <w:rStyle w:val="Starkbetont"/>
          <w:rFonts w:ascii="Liberation Serif" w:hAnsi="Liberation Serif"/>
          <w:b w:val="0"/>
          <w:bCs w:val="0"/>
        </w:rPr>
        <w:t>Bundesregierung</w:t>
      </w:r>
      <w:bookmarkStart w:id="7" w:name="page451R_mcid7"/>
      <w:bookmarkStart w:id="8" w:name="page451R_mcid9"/>
      <w:bookmarkStart w:id="9" w:name="page451R_mcid8"/>
      <w:bookmarkEnd w:id="7"/>
      <w:bookmarkEnd w:id="8"/>
      <w:bookmarkEnd w:id="9"/>
      <w:r>
        <w:rPr>
          <w:rStyle w:val="Starkbetont"/>
          <w:rFonts w:ascii="Liberation Serif" w:hAnsi="Liberation Serif"/>
          <w:b w:val="0"/>
          <w:bCs w:val="0"/>
        </w:rPr>
        <w:t>, Entwurf für ein Gesetz zu dem Umfassenden Wirtschafts- und Handelsabkommen (CETA) zwischen Kanada einerseits und der Europäischen Union u</w:t>
      </w:r>
      <w:r>
        <w:rPr>
          <w:rStyle w:val="Starkbetont"/>
          <w:rFonts w:ascii="Liberation Serif" w:hAnsi="Liberation Serif"/>
          <w:b w:val="0"/>
          <w:bCs w:val="0"/>
        </w:rPr>
        <w:t>nd ihren Mitgliedstaaten andererseits vom 30. Oktober 2016, S. 4, https://dserver.bundestag.de/btd/20/025/2002569.pdf</w:t>
      </w:r>
    </w:p>
  </w:footnote>
  <w:footnote w:id="10">
    <w:p w:rsidR="009370E5" w:rsidRDefault="00543EF0">
      <w:pPr>
        <w:pStyle w:val="Funotentext"/>
      </w:pPr>
      <w:r>
        <w:rPr>
          <w:rStyle w:val="Funotenzeichen"/>
        </w:rPr>
        <w:footnoteRef/>
      </w:r>
      <w:r>
        <w:t xml:space="preserve"> </w:t>
      </w:r>
      <w:r>
        <w:rPr>
          <w:rFonts w:ascii="Liberation Serif" w:hAnsi="Liberation Serif"/>
        </w:rPr>
        <w:t xml:space="preserve">Fraktion der FDP </w:t>
      </w:r>
      <w:r>
        <w:rPr>
          <w:rStyle w:val="Starkbetont"/>
          <w:rFonts w:ascii="Liberation Serif" w:hAnsi="Liberation Serif"/>
          <w:b w:val="0"/>
          <w:bCs w:val="0"/>
        </w:rPr>
        <w:t xml:space="preserve">im Deutschen Bundestag, </w:t>
      </w:r>
      <w:bookmarkStart w:id="10" w:name="page22541R_mcid4"/>
      <w:bookmarkEnd w:id="10"/>
      <w:r>
        <w:rPr>
          <w:rStyle w:val="Starkbetont"/>
          <w:rFonts w:ascii="Liberation Serif" w:hAnsi="Liberation Serif"/>
          <w:b w:val="0"/>
          <w:bCs w:val="0"/>
        </w:rPr>
        <w:t xml:space="preserve">Entwurf eines Gesetzes zum umfassenden Wirtschafts- und Handelsabkommen (CETA) vom 30. Oktober </w:t>
      </w:r>
      <w:r>
        <w:rPr>
          <w:rStyle w:val="Starkbetont"/>
          <w:rFonts w:ascii="Liberation Serif" w:hAnsi="Liberation Serif"/>
          <w:b w:val="0"/>
          <w:bCs w:val="0"/>
        </w:rPr>
        <w:t xml:space="preserve">2016 zwischen Kanada einerseits und der Europäischen Union und ihren Mitgliedsstaaten andererseits, </w:t>
      </w:r>
      <w:bookmarkStart w:id="11" w:name="page22541R_mcid0"/>
      <w:bookmarkEnd w:id="11"/>
      <w:r>
        <w:rPr>
          <w:rStyle w:val="Starkbetont"/>
          <w:rFonts w:ascii="Liberation Serif" w:hAnsi="Liberation Serif"/>
          <w:b w:val="0"/>
          <w:bCs w:val="0"/>
        </w:rPr>
        <w:t>BT-Drucksache 19/14783</w:t>
      </w:r>
      <w:bookmarkStart w:id="12" w:name="page22541R_mcid1"/>
      <w:bookmarkEnd w:id="12"/>
      <w:r>
        <w:rPr>
          <w:rStyle w:val="Starkbetont"/>
          <w:rFonts w:ascii="Liberation Serif" w:hAnsi="Liberation Serif"/>
          <w:b w:val="0"/>
          <w:bCs w:val="0"/>
        </w:rPr>
        <w:t xml:space="preserve"> vom 6.11.2019, https://dserver.bundestag.de/btd/19/147/1914783.pdf</w:t>
      </w:r>
    </w:p>
  </w:footnote>
  <w:footnote w:id="11">
    <w:p w:rsidR="009370E5" w:rsidRDefault="00543EF0">
      <w:pPr>
        <w:pStyle w:val="Funotentext"/>
      </w:pPr>
      <w:r>
        <w:rPr>
          <w:rStyle w:val="Funotenzeichen"/>
        </w:rPr>
        <w:footnoteRef/>
      </w:r>
      <w:r>
        <w:t xml:space="preserve"> </w:t>
      </w:r>
      <w:r>
        <w:rPr>
          <w:rStyle w:val="Starkbetont"/>
          <w:rFonts w:ascii="Liberation Serif" w:hAnsi="Liberation Serif"/>
          <w:b w:val="0"/>
          <w:bCs w:val="0"/>
        </w:rPr>
        <w:t>Deutscher Bundestag, Abgesetzt: Abstimmung über transatlantische</w:t>
      </w:r>
      <w:r>
        <w:rPr>
          <w:rStyle w:val="Starkbetont"/>
          <w:rFonts w:ascii="Liberation Serif" w:hAnsi="Liberation Serif"/>
          <w:b w:val="0"/>
          <w:bCs w:val="0"/>
        </w:rPr>
        <w:t xml:space="preserve"> Wirtschaftspolitik, https://www.bundestag.de/dokumente/textarchiv/2022/kw25-de-ceta-897800</w:t>
      </w:r>
    </w:p>
  </w:footnote>
  <w:footnote w:id="12">
    <w:p w:rsidR="009370E5" w:rsidRDefault="00543EF0">
      <w:pPr>
        <w:pStyle w:val="Funotentext"/>
      </w:pPr>
      <w:r>
        <w:rPr>
          <w:rStyle w:val="Funotenzeichen"/>
        </w:rPr>
        <w:footnoteRef/>
      </w:r>
      <w:r>
        <w:t xml:space="preserve"> </w:t>
      </w:r>
      <w:r>
        <w:rPr>
          <w:rStyle w:val="Starkbetont"/>
          <w:rFonts w:ascii="Liberation Serif" w:hAnsi="Liberation Serif"/>
          <w:b w:val="0"/>
          <w:bCs w:val="0"/>
        </w:rPr>
        <w:t>Deutscher Bundestag, Debatte über trans</w:t>
      </w:r>
      <w:r>
        <w:rPr>
          <w:rStyle w:val="Starkbetont"/>
          <w:rFonts w:ascii="Liberation Serif" w:hAnsi="Liberation Serif"/>
          <w:b w:val="0"/>
          <w:bCs w:val="0"/>
        </w:rPr>
        <w:softHyphen/>
        <w:t xml:space="preserve">atlantische Wirtschafts- und Handelspolitik, </w:t>
      </w:r>
      <w:hyperlink r:id="rId9">
        <w:r>
          <w:rPr>
            <w:rStyle w:val="Internetverknpfung"/>
            <w:rFonts w:ascii="Liberation Serif" w:hAnsi="Liberation Serif"/>
          </w:rPr>
          <w:t>https://www.bundestag.de/dokumente/textarchiv/2022/kw27-de-ceta-900526</w:t>
        </w:r>
      </w:hyperlink>
      <w:r>
        <w:rPr>
          <w:rStyle w:val="Starkbetont"/>
          <w:rFonts w:ascii="Liberation Serif" w:hAnsi="Liberation Serif"/>
          <w:b w:val="0"/>
          <w:bCs w:val="0"/>
        </w:rPr>
        <w:t>, opinioijuris, die freie juristische Bibliothek, Bundestag, aktuelle Themen, Debatte über transatlantische Handelspolitik, vom 7. 7. 2022, https://opinioiuris.de/aggregator</w:t>
      </w:r>
      <w:r>
        <w:rPr>
          <w:rStyle w:val="Starkbetont"/>
          <w:rFonts w:ascii="Liberation Serif" w:hAnsi="Liberation Serif"/>
          <w:b w:val="0"/>
          <w:bCs w:val="0"/>
        </w:rPr>
        <w:t>/sources/24?page=1</w:t>
      </w:r>
    </w:p>
    <w:p w:rsidR="009370E5" w:rsidRDefault="009370E5">
      <w:pPr>
        <w:pStyle w:val="Funotentext"/>
        <w:rPr>
          <w:rStyle w:val="Starkbetont"/>
          <w:b w:val="0"/>
          <w:bCs w:val="0"/>
        </w:rPr>
      </w:pPr>
    </w:p>
  </w:footnote>
  <w:footnote w:id="13">
    <w:p w:rsidR="009370E5" w:rsidRDefault="00543EF0">
      <w:pPr>
        <w:pStyle w:val="Funotentext"/>
      </w:pPr>
      <w:r>
        <w:rPr>
          <w:rStyle w:val="Funotenzeichen"/>
        </w:rPr>
        <w:footnoteRef/>
      </w:r>
      <w:r>
        <w:t xml:space="preserve"> </w:t>
      </w:r>
      <w:r>
        <w:rPr>
          <w:rFonts w:ascii="Liberation Serif" w:hAnsi="Liberation Serif"/>
        </w:rPr>
        <w:t xml:space="preserve">Der Tagesspiegel, 31. 5. 2022 "An Widersprüchlichkeit kaum zu überbieten“ CDU-Chef Merz kritisiert Grüne für Blockade bei Ceta-Abkommen, </w:t>
      </w:r>
      <w:hyperlink r:id="rId10">
        <w:r>
          <w:rPr>
            <w:rStyle w:val="Internetverknpfung"/>
            <w:rFonts w:ascii="Liberation Serif" w:hAnsi="Liberation Serif"/>
          </w:rPr>
          <w:t>https://w</w:t>
        </w:r>
        <w:r>
          <w:rPr>
            <w:rStyle w:val="Internetverknpfung"/>
            <w:rFonts w:ascii="Liberation Serif" w:hAnsi="Liberation Serif"/>
          </w:rPr>
          <w:t>ww.tagesspiegel.de/politik/an-widerspruechlichkeit-kaum-zu-</w:t>
        </w:r>
      </w:hyperlink>
      <w:r>
        <w:rPr>
          <w:rFonts w:ascii="Liberation Serif" w:hAnsi="Liberation Serif"/>
        </w:rPr>
        <w:t>ueberbieten-cdu-chef-merz-kritisiert-gruene-fuer-blockade-bei-ceta-abkommen/28389668.html</w:t>
      </w:r>
    </w:p>
  </w:footnote>
  <w:footnote w:id="14">
    <w:p w:rsidR="009370E5" w:rsidRDefault="00543EF0">
      <w:pPr>
        <w:pStyle w:val="Funotentext"/>
      </w:pPr>
      <w:r>
        <w:rPr>
          <w:rStyle w:val="Funotenzeichen"/>
        </w:rPr>
        <w:footnoteRef/>
      </w:r>
      <w:r>
        <w:t xml:space="preserve"> </w:t>
      </w:r>
      <w:r>
        <w:rPr>
          <w:rFonts w:ascii="Liberation Serif" w:hAnsi="Liberation Serif"/>
        </w:rPr>
        <w:t>Deutscher Bundestag</w:t>
      </w:r>
      <w:bookmarkStart w:id="13" w:name="page16981R_mcid1"/>
      <w:bookmarkEnd w:id="13"/>
      <w:r>
        <w:rPr>
          <w:rFonts w:ascii="Liberation Serif" w:hAnsi="Liberation Serif"/>
        </w:rPr>
        <w:t>, Stenografischer Bericht, 47. Sitzung</w:t>
      </w:r>
      <w:bookmarkStart w:id="14" w:name="page16981R_mcid3"/>
      <w:bookmarkEnd w:id="14"/>
      <w:r>
        <w:rPr>
          <w:rFonts w:ascii="Liberation Serif" w:hAnsi="Liberation Serif"/>
        </w:rPr>
        <w:t xml:space="preserve"> Berlin, Donnerstag, den 7. Juli 2022, S 4959, https://dserver.bundestag.de/btp/20/20047.pdf#P.4950</w:t>
      </w:r>
    </w:p>
  </w:footnote>
  <w:footnote w:id="15">
    <w:p w:rsidR="009370E5" w:rsidRDefault="00543EF0">
      <w:pPr>
        <w:pStyle w:val="Funotentext"/>
      </w:pPr>
      <w:r>
        <w:rPr>
          <w:rStyle w:val="Funotenzeichen"/>
        </w:rPr>
        <w:footnoteRef/>
      </w:r>
      <w:r>
        <w:t xml:space="preserve"> </w:t>
      </w:r>
      <w:r>
        <w:rPr>
          <w:rFonts w:ascii="Liberation Serif" w:hAnsi="Liberation Serif"/>
        </w:rPr>
        <w:t xml:space="preserve">Koalitionsvertrag zwischen </w:t>
      </w:r>
      <w:r>
        <w:rPr>
          <w:rFonts w:ascii="Liberation Serif" w:hAnsi="Liberation Serif"/>
        </w:rPr>
        <w:t xml:space="preserve">CDU, CSU und SPD, Ein neuer Aufbruch für Europa. Eine neue Dynamik für Deutschland. Ein neuer Zusammenhalt für unser Land, 19. </w:t>
      </w:r>
      <w:r>
        <w:rPr>
          <w:rFonts w:ascii="Liberation Serif" w:hAnsi="Liberation Serif"/>
        </w:rPr>
        <w:t xml:space="preserve">Legislaturperiode, S. 65, </w:t>
      </w:r>
      <w:hyperlink r:id="rId11">
        <w:r>
          <w:rPr>
            <w:rStyle w:val="Internetverknpfung"/>
            <w:rFonts w:ascii="Liberation Serif" w:hAnsi="Liberation Serif"/>
          </w:rPr>
          <w:t>https://www.bundesregierung.de/resource/blob/974430/847984/5b8bc23590d4cb2892b31c987ad672b7/2018-</w:t>
        </w:r>
      </w:hyperlink>
      <w:r>
        <w:rPr>
          <w:rFonts w:ascii="Liberation Serif" w:hAnsi="Liberation Serif"/>
        </w:rPr>
        <w:t>03-14-koalitions</w:t>
      </w:r>
      <w:r>
        <w:rPr>
          <w:rFonts w:ascii="Liberation Serif" w:hAnsi="Liberation Serif"/>
        </w:rPr>
        <w:t>vertrag-data.pdf?download=1</w:t>
      </w:r>
    </w:p>
  </w:footnote>
  <w:footnote w:id="16">
    <w:p w:rsidR="009370E5" w:rsidRDefault="00543EF0">
      <w:pPr>
        <w:pStyle w:val="Funotentext"/>
      </w:pPr>
      <w:r>
        <w:rPr>
          <w:rStyle w:val="Funotenzeichen"/>
        </w:rPr>
        <w:footnoteRef/>
      </w:r>
      <w:r>
        <w:t xml:space="preserve"> </w:t>
      </w:r>
      <w:r>
        <w:rPr>
          <w:rFonts w:ascii="Liberation Serif" w:hAnsi="Liberation Serif"/>
        </w:rPr>
        <w:t>Mayer, Franz, Ratifizierung des Handelsabkommens zwischen der EU und Kanada (CETA), Rechtliche Aspekte, Thesen und Stellungnahme zur öffentlichen Anhörung im Ausschuss für Wirtschaft und Energie des Deutschen Bundestags am Mit</w:t>
      </w:r>
      <w:r>
        <w:rPr>
          <w:rFonts w:ascii="Liberation Serif" w:hAnsi="Liberation Serif"/>
        </w:rPr>
        <w:t xml:space="preserve">twoch, 13. Januar 2021, S II </w:t>
      </w:r>
      <w:hyperlink r:id="rId12">
        <w:r>
          <w:rPr>
            <w:rStyle w:val="Internetverknpfung"/>
            <w:rFonts w:ascii="Liberation Serif" w:hAnsi="Liberation Serif"/>
          </w:rPr>
          <w:t>https://www.bundestag.de/resource/blob/816856/d6f16f2cc8255676bed742d48e46fd79/19-9-</w:t>
        </w:r>
      </w:hyperlink>
      <w:r>
        <w:rPr>
          <w:rFonts w:ascii="Liberation Serif" w:hAnsi="Liberation Serif"/>
        </w:rPr>
        <w:t>928_Stellungnahme_Mayer-data.pdf</w:t>
      </w:r>
    </w:p>
  </w:footnote>
  <w:footnote w:id="17">
    <w:p w:rsidR="009370E5" w:rsidRDefault="00543EF0">
      <w:pPr>
        <w:pStyle w:val="Funotentext"/>
      </w:pPr>
      <w:r>
        <w:rPr>
          <w:rStyle w:val="Funotenzeichen"/>
        </w:rPr>
        <w:footnoteRef/>
      </w:r>
      <w:r>
        <w:t xml:space="preserve"> </w:t>
      </w:r>
      <w:r>
        <w:rPr>
          <w:rFonts w:ascii="Liberation Serif" w:hAnsi="Liberation Serif"/>
        </w:rPr>
        <w:t>Hoff</w:t>
      </w:r>
      <w:r>
        <w:rPr>
          <w:rFonts w:ascii="Liberation Serif" w:hAnsi="Liberation Serif"/>
        </w:rPr>
        <w:t xml:space="preserve">mann, Tamara, </w:t>
      </w:r>
      <w:r>
        <w:rPr>
          <w:rFonts w:ascii="Liberation Serif" w:hAnsi="Liberation Serif"/>
        </w:rPr>
        <w:t xml:space="preserve">Krajewski, Markus, Rechtsgutachten und Vorschläge für eine mögliche Verbesserung oder Neuverhandlung des Entwurfs des EU-Mercosur-Assoziierungsabkommens im Auftrag von Misereor, Greenpeace und CIDSE, Aachen, Hamburg, Brüssel  Mai 2021, S. 20 </w:t>
      </w:r>
      <w:r>
        <w:rPr>
          <w:rFonts w:ascii="Liberation Serif" w:hAnsi="Liberation Serif"/>
        </w:rPr>
        <w:t>f. https://www.greenpeace.de/publikationen/rechtsgutachten_eu-mercosur_de_final.pdf</w:t>
      </w:r>
    </w:p>
  </w:footnote>
  <w:footnote w:id="18">
    <w:p w:rsidR="009370E5" w:rsidRDefault="00543EF0">
      <w:pPr>
        <w:pStyle w:val="Funotentext"/>
      </w:pPr>
      <w:r>
        <w:rPr>
          <w:rStyle w:val="Funotenzeichen"/>
        </w:rPr>
        <w:footnoteRef/>
      </w:r>
      <w:r>
        <w:t xml:space="preserve"> f</w:t>
      </w:r>
      <w:r>
        <w:rPr>
          <w:rFonts w:ascii="Liberation Serif" w:hAnsi="Liberation Serif"/>
        </w:rPr>
        <w:t xml:space="preserve">oodwatch/The Council of Canadians, The Potential Dangers of CETA Committes on Europe, Amsterdam/Ottawa 2020, S. 10 </w:t>
      </w:r>
      <w:hyperlink r:id="rId13">
        <w:r>
          <w:rPr>
            <w:rStyle w:val="Internetverknpfung"/>
            <w:rFonts w:ascii="Liberation Serif" w:hAnsi="Liberation Serif"/>
            <w:lang w:val="en-GB"/>
          </w:rPr>
          <w:t>https://canadians.org/sites/default/files/publications/report-ceta-committees-</w:t>
        </w:r>
      </w:hyperlink>
      <w:hyperlink r:id="rId14">
        <w:r>
          <w:rPr>
            <w:rStyle w:val="Internetverknpfung"/>
            <w:rFonts w:ascii="Liberation Serif" w:hAnsi="Liberation Serif"/>
            <w:lang w:val="en-GB"/>
          </w:rPr>
          <w:t>europe.pdf</w:t>
        </w:r>
      </w:hyperlink>
      <w:r>
        <w:rPr>
          <w:rFonts w:ascii="Liberation Serif" w:hAnsi="Liberation Serif"/>
        </w:rPr>
        <w:t xml:space="preserve"> </w:t>
      </w:r>
    </w:p>
  </w:footnote>
  <w:footnote w:id="19">
    <w:p w:rsidR="009370E5" w:rsidRDefault="00543EF0">
      <w:pPr>
        <w:pStyle w:val="Funotentext"/>
      </w:pPr>
      <w:r>
        <w:rPr>
          <w:rStyle w:val="Funotenzeichen"/>
        </w:rPr>
        <w:footnoteRef/>
      </w:r>
      <w:r>
        <w:t xml:space="preserve"> </w:t>
      </w:r>
      <w:r>
        <w:rPr>
          <w:rFonts w:ascii="Liberation Serif" w:hAnsi="Liberation Serif"/>
        </w:rPr>
        <w:t xml:space="preserve">Europäische </w:t>
      </w:r>
      <w:r>
        <w:rPr>
          <w:rFonts w:ascii="Liberation Serif" w:hAnsi="Liberation Serif"/>
        </w:rPr>
        <w:t xml:space="preserve">Kommission, </w:t>
      </w:r>
      <w:r>
        <w:rPr>
          <w:rFonts w:ascii="Liberation Serif" w:hAnsi="Liberation Serif"/>
        </w:rPr>
        <w:t xml:space="preserve">Vorschlag für einen Beschluss des Rates über den Standpunkt, der im Namen der Europäischen Union in dem mit dem umfassenden Wirtschafts- und Handelsabkommen (CETA) zwischen Kanada einerseits und der Europäischen Union und ihren Mitgliedstaaten </w:t>
      </w:r>
      <w:r>
        <w:rPr>
          <w:rFonts w:ascii="Liberation Serif" w:hAnsi="Liberation Serif"/>
        </w:rPr>
        <w:t>andererseits eingesetzten Gemischten CETA Ausschuss hinsichtlich der Annahme eines Beschlusses zu vertreten ist, mit dem das Verfahren für die Annahme von Auslegungen gemäß Artikel 8.31 Absatz 3 und Artikel 8.44 Absatz 3 Buchstabe a CETA als Anhang der Ges</w:t>
      </w:r>
      <w:r>
        <w:rPr>
          <w:rFonts w:ascii="Liberation Serif" w:hAnsi="Liberation Serif"/>
        </w:rPr>
        <w:t xml:space="preserve">chäftsordnung des Gemischten CETA-Ausschusses festgelegt wird, vom 11. 10. 2019, </w:t>
      </w:r>
      <w:bookmarkStart w:id="16" w:name="page26R_mcid01"/>
      <w:bookmarkEnd w:id="16"/>
      <w:r>
        <w:rPr>
          <w:rFonts w:ascii="Liberation Serif" w:hAnsi="Liberation Serif"/>
        </w:rPr>
        <w:t xml:space="preserve">S. 1, COM(2019) 458 final, </w:t>
      </w:r>
      <w:hyperlink r:id="rId15">
        <w:r>
          <w:rPr>
            <w:rStyle w:val="Internetverknpfung"/>
            <w:rFonts w:ascii="Liberation Serif" w:hAnsi="Liberation Serif"/>
          </w:rPr>
          <w:t>https://eur-lex.europa.eu/resource.html?uri=cellar:40</w:t>
        </w:r>
        <w:r>
          <w:rPr>
            <w:rStyle w:val="Internetverknpfung"/>
            <w:rFonts w:ascii="Liberation Serif" w:hAnsi="Liberation Serif"/>
          </w:rPr>
          <w:t>58b622-ec13-11e9-9c4e-</w:t>
        </w:r>
      </w:hyperlink>
      <w:r>
        <w:rPr>
          <w:rFonts w:ascii="Liberation Serif" w:hAnsi="Liberation Serif"/>
        </w:rPr>
        <w:t>01aa75ed71a1.0014.02/DOC_1&amp;format=PDF</w:t>
      </w:r>
    </w:p>
  </w:footnote>
  <w:footnote w:id="20">
    <w:p w:rsidR="009370E5" w:rsidRDefault="00543EF0">
      <w:pPr>
        <w:pStyle w:val="Funotentext"/>
      </w:pPr>
      <w:r>
        <w:rPr>
          <w:rStyle w:val="Funotenzeichen"/>
        </w:rPr>
        <w:footnoteRef/>
      </w:r>
      <w:r>
        <w:t xml:space="preserve"> </w:t>
      </w:r>
      <w:r>
        <w:rPr>
          <w:rFonts w:ascii="Liberation Serif" w:hAnsi="Liberation Serif"/>
        </w:rPr>
        <w:t xml:space="preserve">Krajewski, Markus, Kurzbewertung der Gemeinsamen Auslegungserklärung zum CETA ins- besondere mit Blick auf den Investitionsschutz, Erlangen 2016 S. 2, </w:t>
      </w:r>
      <w:hyperlink r:id="rId16">
        <w:r>
          <w:rPr>
            <w:rStyle w:val="Internetverknpfung"/>
            <w:rFonts w:ascii="Liberation Serif" w:hAnsi="Liberation Serif"/>
          </w:rPr>
          <w:t>https://katharina-droege.de/sites/default/files/Kurzbewertung%20der%20Gemeinsamen%20Auslegungserkl</w:t>
        </w:r>
      </w:hyperlink>
      <w:r>
        <w:rPr>
          <w:rFonts w:ascii="Liberation Serif" w:hAnsi="Liberation Serif"/>
        </w:rPr>
        <w:t>%C3%A4rung%20zum%20CETA%20insbesondere%20mit%20Blick%20auf%20den%20Investitionsschutz_Kra</w:t>
      </w:r>
      <w:r>
        <w:rPr>
          <w:rFonts w:ascii="Liberation Serif" w:hAnsi="Liberation Serif"/>
        </w:rPr>
        <w:t>jewski.pdf</w:t>
      </w:r>
    </w:p>
  </w:footnote>
  <w:footnote w:id="21">
    <w:p w:rsidR="009370E5" w:rsidRDefault="00543EF0">
      <w:pPr>
        <w:pStyle w:val="Funotentext"/>
      </w:pPr>
      <w:r>
        <w:rPr>
          <w:rStyle w:val="Funotenzeichen"/>
        </w:rPr>
        <w:footnoteRef/>
      </w:r>
      <w:r>
        <w:t xml:space="preserve"> </w:t>
      </w:r>
      <w:r>
        <w:rPr>
          <w:rFonts w:ascii="Liberation Serif" w:hAnsi="Liberation Serif"/>
        </w:rPr>
        <w:t xml:space="preserve">Gemeinsames </w:t>
      </w:r>
      <w:r>
        <w:rPr>
          <w:rFonts w:ascii="Liberation Serif" w:hAnsi="Liberation Serif"/>
        </w:rPr>
        <w:t>Auslegungsinstrument zum umfassenden Wirtschafts- und Handelsabkommen (CETA) zwischen Kanada und der Europäischen Union und ihren Mitgliedstaaten, Amtsblatt der Europäischen Union v. 14. 1. 2017, , S. 4 https://eur-lex.europa.eu/le</w:t>
      </w:r>
      <w:r>
        <w:rPr>
          <w:rFonts w:ascii="Liberation Serif" w:hAnsi="Liberation Serif"/>
        </w:rPr>
        <w:t>gal-content/DE/TXT/PDF/?uri=CELEX:22017X0114(01)&amp;from=DE</w:t>
      </w:r>
    </w:p>
  </w:footnote>
  <w:footnote w:id="22">
    <w:p w:rsidR="009370E5" w:rsidRDefault="00543EF0">
      <w:pPr>
        <w:pStyle w:val="Funotentext"/>
      </w:pPr>
      <w:r>
        <w:rPr>
          <w:rStyle w:val="Funotenzeichen"/>
        </w:rPr>
        <w:footnoteRef/>
      </w:r>
      <w:r>
        <w:t xml:space="preserve"> </w:t>
      </w:r>
      <w:r>
        <w:rPr>
          <w:rFonts w:ascii="Liberation Serif" w:hAnsi="Liberation Serif"/>
        </w:rPr>
        <w:t xml:space="preserve">Krajewski, Markus, a. a. O., S. 3 </w:t>
      </w:r>
      <w:r>
        <w:t xml:space="preserve"> </w:t>
      </w:r>
    </w:p>
  </w:footnote>
  <w:footnote w:id="23">
    <w:p w:rsidR="009370E5" w:rsidRDefault="00543EF0">
      <w:pPr>
        <w:pStyle w:val="Funotentext"/>
      </w:pPr>
      <w:r>
        <w:rPr>
          <w:rStyle w:val="Funotenzeichen"/>
        </w:rPr>
        <w:footnoteRef/>
      </w:r>
      <w:r>
        <w:t xml:space="preserve"> </w:t>
      </w:r>
      <w:r>
        <w:rPr>
          <w:rFonts w:ascii="Liberation Serif" w:hAnsi="Liberation Serif"/>
        </w:rPr>
        <w:t>Gemeinsames Auslegungsinstrument a. a. O., S. 6</w:t>
      </w:r>
    </w:p>
  </w:footnote>
  <w:footnote w:id="24">
    <w:p w:rsidR="009370E5" w:rsidRDefault="00543EF0">
      <w:pPr>
        <w:pStyle w:val="Funotentext"/>
      </w:pPr>
      <w:r>
        <w:rPr>
          <w:rStyle w:val="Funotenzeichen"/>
        </w:rPr>
        <w:footnoteRef/>
      </w:r>
      <w:r>
        <w:t xml:space="preserve"> </w:t>
      </w:r>
      <w:r>
        <w:rPr>
          <w:rFonts w:ascii="Liberation Serif" w:hAnsi="Liberation Serif"/>
        </w:rPr>
        <w:t>Deutscher Gewerkschaftsbund, PM 044 vom 24. 6. 2022,</w:t>
      </w:r>
      <w:r>
        <w:t xml:space="preserve"> </w:t>
      </w:r>
      <w:r>
        <w:rPr>
          <w:rFonts w:ascii="Liberation Serif" w:hAnsi="Liberation Serif"/>
        </w:rPr>
        <w:t>CETA-Ratifizierung. Neue Strategie der EU-Kommission mus</w:t>
      </w:r>
      <w:r>
        <w:rPr>
          <w:rFonts w:ascii="Liberation Serif" w:hAnsi="Liberation Serif"/>
        </w:rPr>
        <w:t>s angewendet werden, https://www.dgb.de/presse/++co++b6493e2a-f3a1-11ec-a900-001a4a160123</w:t>
      </w:r>
    </w:p>
  </w:footnote>
  <w:footnote w:id="25">
    <w:p w:rsidR="009370E5" w:rsidRDefault="00543EF0">
      <w:pPr>
        <w:pStyle w:val="Funotentext"/>
      </w:pPr>
      <w:r>
        <w:rPr>
          <w:rStyle w:val="Funotenzeichen"/>
        </w:rPr>
        <w:footnoteRef/>
      </w:r>
      <w:r>
        <w:t xml:space="preserve"> </w:t>
      </w:r>
      <w:r>
        <w:rPr>
          <w:rFonts w:ascii="Liberation Serif" w:hAnsi="Liberation Serif"/>
        </w:rPr>
        <w:t xml:space="preserve">Europäische Kommission, </w:t>
      </w:r>
      <w:r>
        <w:rPr>
          <w:rFonts w:ascii="Liberation Serif" w:hAnsi="Liberation Serif"/>
        </w:rPr>
        <w:t xml:space="preserve">Mitteilung, Überprüfung der Handelspolitik – Eine offene, nachhaltige und entschlossene Handelspolitik </w:t>
      </w:r>
      <w:bookmarkStart w:id="23" w:name="page6R_mcid01"/>
      <w:bookmarkEnd w:id="23"/>
      <w:r>
        <w:rPr>
          <w:rFonts w:ascii="Liberation Serif" w:hAnsi="Liberation Serif"/>
        </w:rPr>
        <w:t xml:space="preserve">Brüssel, den 18.2.2021, COM(2021) 66 </w:t>
      </w:r>
      <w:r>
        <w:rPr>
          <w:rFonts w:ascii="Liberation Serif" w:hAnsi="Liberation Serif"/>
        </w:rPr>
        <w:t>final, S. 11 https://eur-lex.europa.eu/resource.html?uri=cellar:5bf4e9d0-71d2-11eb-9ac9-01aa75ed71a1.0003.02/DOC_1&amp;format=PDF</w:t>
      </w:r>
    </w:p>
  </w:footnote>
  <w:footnote w:id="26">
    <w:p w:rsidR="009370E5" w:rsidRDefault="00543EF0">
      <w:pPr>
        <w:pStyle w:val="Funotentext"/>
      </w:pPr>
      <w:r>
        <w:rPr>
          <w:rStyle w:val="Funotenzeichen"/>
        </w:rPr>
        <w:footnoteRef/>
      </w:r>
      <w:r>
        <w:t xml:space="preserve"> </w:t>
      </w:r>
      <w:r>
        <w:rPr>
          <w:rFonts w:ascii="Liberation Serif" w:hAnsi="Liberation Serif"/>
        </w:rPr>
        <w:t>Eckpunktepapier „Handelspolitik der Bundesregierung,</w:t>
      </w:r>
      <w:r>
        <w:t xml:space="preserve"> </w:t>
      </w:r>
      <w:r>
        <w:rPr>
          <w:rFonts w:ascii="Liberation Serif" w:hAnsi="Liberation Serif"/>
        </w:rPr>
        <w:t xml:space="preserve"> a. a. O., S. 1</w:t>
      </w:r>
    </w:p>
  </w:footnote>
  <w:footnote w:id="27">
    <w:p w:rsidR="009370E5" w:rsidRDefault="00543EF0">
      <w:pPr>
        <w:pStyle w:val="Funotentext"/>
      </w:pPr>
      <w:r>
        <w:rPr>
          <w:rStyle w:val="Funotenzeichen"/>
        </w:rPr>
        <w:footnoteRef/>
      </w:r>
      <w:r>
        <w:t xml:space="preserve"> </w:t>
      </w:r>
      <w:r>
        <w:rPr>
          <w:rFonts w:ascii="Liberation Serif" w:hAnsi="Liberation Serif"/>
        </w:rPr>
        <w:t xml:space="preserve">Diese sind: </w:t>
      </w:r>
      <w:r>
        <w:rPr>
          <w:rFonts w:ascii="Liberation Serif" w:hAnsi="Liberation Serif"/>
        </w:rPr>
        <w:t>Vorschriften zur Regelung administrativer und</w:t>
      </w:r>
      <w:r>
        <w:rPr>
          <w:rFonts w:ascii="Liberation Serif" w:hAnsi="Liberation Serif"/>
        </w:rPr>
        <w:t xml:space="preserve"> organisatorischer Aspekte der Arbeitsweise der Rechtsbehelfsinstanz, Verhaltenskodex für Mitglieder des Gerichts, Mitglieder der Rechtsbehelfsinstanz und Mediatoren,  Mediationsregeln, Regeln für das Verfahren für die Annahme von Auslegungen gemäß Artikel</w:t>
      </w:r>
      <w:r>
        <w:rPr>
          <w:rFonts w:ascii="Liberation Serif" w:hAnsi="Liberation Serif"/>
        </w:rPr>
        <w:t xml:space="preserve"> 8.31 Absatz 3 und Artikel 8.44 Absatz 3 Buchstabe a des Abkommens. European Commission, New Article, Commission presents procedural proposals for the Investment Court System in CETA, 11. Oktober 2019, </w:t>
      </w:r>
      <w:hyperlink r:id="rId17">
        <w:r>
          <w:rPr>
            <w:rStyle w:val="Internetverknpfung"/>
            <w:rFonts w:ascii="Liberation Serif" w:hAnsi="Liberation Serif"/>
          </w:rPr>
          <w:t>https://policy.trade.ec.europa.eu/news/commission-presents-procedural-proposals-investment-court-system-</w:t>
        </w:r>
      </w:hyperlink>
      <w:r>
        <w:rPr>
          <w:rFonts w:ascii="Liberation Serif" w:hAnsi="Liberation Serif"/>
        </w:rPr>
        <w:t>ceta-2019-10-11_en</w:t>
      </w:r>
    </w:p>
  </w:footnote>
  <w:footnote w:id="28">
    <w:p w:rsidR="009370E5" w:rsidRDefault="00543EF0">
      <w:pPr>
        <w:pStyle w:val="Funotentext"/>
      </w:pPr>
      <w:r>
        <w:rPr>
          <w:rStyle w:val="Funotenzeichen"/>
        </w:rPr>
        <w:footnoteRef/>
      </w:r>
      <w:r>
        <w:t xml:space="preserve"> </w:t>
      </w:r>
      <w:r>
        <w:rPr>
          <w:rFonts w:ascii="Liberation Serif" w:hAnsi="Liberation Serif"/>
        </w:rPr>
        <w:t>Gemeinsames Auslegungsinstrument a. a. O., S. 1</w:t>
      </w:r>
    </w:p>
  </w:footnote>
  <w:footnote w:id="29">
    <w:p w:rsidR="009370E5" w:rsidRDefault="00543EF0">
      <w:pPr>
        <w:pStyle w:val="Funotentext"/>
      </w:pPr>
      <w:r>
        <w:rPr>
          <w:rStyle w:val="Funotenzeichen"/>
        </w:rPr>
        <w:footnoteRef/>
      </w:r>
      <w:r>
        <w:t xml:space="preserve"> f</w:t>
      </w:r>
      <w:r>
        <w:rPr>
          <w:rFonts w:ascii="Liberation Serif" w:hAnsi="Liberation Serif"/>
        </w:rPr>
        <w:t>oodwatch/The Council of Canadians, a. a. O.</w:t>
      </w:r>
      <w:r>
        <w:t xml:space="preserve">  </w:t>
      </w:r>
    </w:p>
  </w:footnote>
  <w:footnote w:id="30">
    <w:p w:rsidR="009370E5" w:rsidRDefault="00543EF0">
      <w:pPr>
        <w:pStyle w:val="Funotentext"/>
      </w:pPr>
      <w:r>
        <w:rPr>
          <w:rStyle w:val="Funotenzeichen"/>
        </w:rPr>
        <w:footnoteRef/>
      </w:r>
      <w:r>
        <w:t xml:space="preserve"> </w:t>
      </w:r>
      <w:r>
        <w:rPr>
          <w:rFonts w:ascii="Liberation Serif" w:hAnsi="Liberation Serif"/>
        </w:rPr>
        <w:t xml:space="preserve">Vgl., Kleine Anfrage </w:t>
      </w:r>
      <w:r>
        <w:rPr>
          <w:rFonts w:ascii="Liberation Serif" w:hAnsi="Liberation Serif"/>
        </w:rPr>
        <w:t xml:space="preserve">der Fraktion der CDU/CSU, </w:t>
      </w:r>
      <w:bookmarkStart w:id="24" w:name="page3R_mcid2"/>
      <w:bookmarkEnd w:id="24"/>
      <w:r>
        <w:rPr>
          <w:rFonts w:ascii="Liberation Serif" w:hAnsi="Liberation Serif"/>
        </w:rPr>
        <w:t>Verbändebeteiligung beim Entwurf der Bundesregierung für ein Gesetz zu dem Umfassenden Wirtschafts- und Handelsabkommen (CETA) zwischen Kanada einerseits und der</w:t>
      </w:r>
      <w:r>
        <w:rPr>
          <w:rFonts w:ascii="Liberation Serif" w:hAnsi="Liberation Serif"/>
        </w:rPr>
        <w:t xml:space="preserve"> Europäischen Union und ihren Mitgliedstaaten andererseits vom 30. Oktober 2016, BT-Drucksache 20/2909 vom 27.07.2022, https://dserver.bundestag.de/btd/20/029/2002909.pdf</w:t>
      </w:r>
    </w:p>
  </w:footnote>
  <w:footnote w:id="31">
    <w:p w:rsidR="009370E5" w:rsidRDefault="00543EF0">
      <w:pPr>
        <w:pStyle w:val="Funotentext"/>
      </w:pPr>
      <w:r>
        <w:rPr>
          <w:rStyle w:val="Funotenzeichen"/>
        </w:rPr>
        <w:footnoteRef/>
      </w:r>
      <w:r>
        <w:t xml:space="preserve"> </w:t>
      </w:r>
      <w:r>
        <w:rPr>
          <w:rFonts w:ascii="Liberation Serif" w:hAnsi="Liberation Serif"/>
        </w:rPr>
        <w:t xml:space="preserve">DGB, Stellungnahme </w:t>
      </w:r>
      <w:bookmarkStart w:id="25" w:name="page122R_mcid11"/>
      <w:bookmarkStart w:id="26" w:name="page122R_mcid12"/>
      <w:bookmarkEnd w:id="25"/>
      <w:bookmarkEnd w:id="26"/>
      <w:r>
        <w:rPr>
          <w:rFonts w:ascii="Liberation Serif" w:hAnsi="Liberation Serif"/>
        </w:rPr>
        <w:t>zum Entwurf für ein Gesetz zu dem Umfassenden Wirtschafts- und H</w:t>
      </w:r>
      <w:r>
        <w:rPr>
          <w:rFonts w:ascii="Liberation Serif" w:hAnsi="Liberation Serif"/>
        </w:rPr>
        <w:t>andelsabkommen (CETA) zwischen Kanada einerseits und der Europäischen Union und ihren Mitgliedstaaten andererseits vom 30. Oktober 2016</w:t>
      </w:r>
      <w:bookmarkStart w:id="27" w:name="page122R_mcid14"/>
      <w:bookmarkStart w:id="28" w:name="page122R_mcid15"/>
      <w:bookmarkStart w:id="29" w:name="page122R_mcid16"/>
      <w:bookmarkEnd w:id="27"/>
      <w:bookmarkEnd w:id="28"/>
      <w:bookmarkEnd w:id="29"/>
      <w:r>
        <w:rPr>
          <w:rFonts w:ascii="Liberation Serif" w:hAnsi="Liberation Serif"/>
        </w:rPr>
        <w:t xml:space="preserve">, 29. 6. 2022, </w:t>
      </w:r>
      <w:r>
        <w:rPr>
          <w:rStyle w:val="Internetverknpfung"/>
          <w:rFonts w:ascii="Liberation Serif" w:hAnsi="Liberation Serif"/>
        </w:rPr>
        <w:t>file:///home/eberhard/Downloads/DGB-Stellungnahme-CETA-Ratifizierung.pdf</w:t>
      </w:r>
    </w:p>
    <w:p w:rsidR="009370E5" w:rsidRDefault="00543EF0">
      <w:r>
        <w:rPr>
          <w:rFonts w:ascii="Liberation Serif" w:hAnsi="Liberation Serif"/>
          <w:sz w:val="20"/>
          <w:szCs w:val="20"/>
        </w:rPr>
        <w:t xml:space="preserve">ver.di, PM vom </w:t>
      </w:r>
      <w:r>
        <w:rPr>
          <w:rFonts w:ascii="Liberation Serif" w:hAnsi="Liberation Serif"/>
          <w:sz w:val="20"/>
          <w:szCs w:val="20"/>
        </w:rPr>
        <w:t>6. 7. 2022</w:t>
      </w:r>
      <w:r>
        <w:rPr>
          <w:rFonts w:ascii="Liberation Serif" w:hAnsi="Liberation Serif"/>
          <w:sz w:val="20"/>
          <w:szCs w:val="20"/>
        </w:rPr>
        <w:t xml:space="preserve">, </w:t>
      </w:r>
      <w:r>
        <w:rPr>
          <w:rFonts w:ascii="Liberation Serif" w:hAnsi="Liberation Serif"/>
          <w:sz w:val="20"/>
          <w:szCs w:val="20"/>
        </w:rPr>
        <w:t xml:space="preserve">CETA: </w:t>
      </w:r>
      <w:r>
        <w:rPr>
          <w:rFonts w:ascii="Liberation Serif" w:hAnsi="Liberation Serif"/>
          <w:sz w:val="20"/>
          <w:szCs w:val="20"/>
        </w:rPr>
        <w:t>Bundesregierung will Handelsabkommen durchpeitschen – ver.di: Ratifizierung aussetzen bis Kritikpunkte ausgeräumt sind, https://www.verdi.de/presse/pressemitteilungen/++co++4c0c6146-fd23-11ec-a3cd-001a4a16012a</w:t>
      </w:r>
    </w:p>
  </w:footnote>
  <w:footnote w:id="32">
    <w:p w:rsidR="009370E5" w:rsidRDefault="00543EF0">
      <w:pPr>
        <w:pStyle w:val="Funotentext"/>
      </w:pPr>
      <w:r>
        <w:rPr>
          <w:rStyle w:val="Funotenzeichen"/>
        </w:rPr>
        <w:footnoteRef/>
      </w:r>
      <w:r>
        <w:t xml:space="preserve"> </w:t>
      </w:r>
      <w:r>
        <w:rPr>
          <w:rFonts w:ascii="Times New Roman" w:hAnsi="Times New Roman"/>
        </w:rPr>
        <w:t xml:space="preserve">Hoffmann, </w:t>
      </w:r>
      <w:r>
        <w:rPr>
          <w:rFonts w:ascii="Times New Roman" w:hAnsi="Times New Roman"/>
        </w:rPr>
        <w:t>Tamara, Krajewski, Markus, a. a. O</w:t>
      </w:r>
      <w:r>
        <w:rPr>
          <w:rFonts w:ascii="Times New Roman" w:hAnsi="Times New Roman"/>
        </w:rPr>
        <w:t>., S. 19ff.</w:t>
      </w:r>
    </w:p>
  </w:footnote>
  <w:footnote w:id="33">
    <w:p w:rsidR="009370E5" w:rsidRDefault="00543EF0">
      <w:pPr>
        <w:pStyle w:val="Funotentext"/>
      </w:pPr>
      <w:r>
        <w:rPr>
          <w:rStyle w:val="Funotenzeichen"/>
        </w:rPr>
        <w:footnoteRef/>
      </w:r>
      <w:r>
        <w:t xml:space="preserve"> </w:t>
      </w:r>
      <w:r>
        <w:rPr>
          <w:rFonts w:ascii="Times New Roman" w:hAnsi="Times New Roman"/>
        </w:rPr>
        <w:t xml:space="preserve">Fraktion der </w:t>
      </w:r>
      <w:r>
        <w:rPr>
          <w:rFonts w:ascii="Times New Roman" w:hAnsi="Times New Roman"/>
        </w:rPr>
        <w:t xml:space="preserve"> CDU/CSU</w:t>
      </w:r>
      <w:bookmarkStart w:id="31" w:name="page9392R_mcid15"/>
      <w:bookmarkEnd w:id="31"/>
      <w:r>
        <w:rPr>
          <w:rFonts w:ascii="Times New Roman" w:hAnsi="Times New Roman"/>
        </w:rPr>
        <w:t xml:space="preserve"> im Deutschen Bundestag, Entwurf eines Gesetzes zum umfassenden Wirtschafts- und Handelsabkommen (CETA) vom 30. Oktober 2016 zwischen Kanada einerseits und der Europäischen Union und ihren Mitgliedstaaten andererseits, </w:t>
      </w:r>
      <w:bookmarkStart w:id="32" w:name="page9392R_mcid68"/>
      <w:bookmarkEnd w:id="32"/>
      <w:r>
        <w:rPr>
          <w:rFonts w:ascii="Times New Roman" w:hAnsi="Times New Roman"/>
        </w:rPr>
        <w:t>BT</w:t>
      </w:r>
      <w:r>
        <w:rPr>
          <w:rFonts w:ascii="Times New Roman" w:hAnsi="Times New Roman"/>
        </w:rPr>
        <w:t>-Drucksache 20/1008</w:t>
      </w:r>
      <w:bookmarkStart w:id="33" w:name="page9392R_mcid6"/>
      <w:bookmarkEnd w:id="33"/>
      <w:r>
        <w:rPr>
          <w:rFonts w:ascii="Times New Roman" w:hAnsi="Times New Roman"/>
        </w:rPr>
        <w:t xml:space="preserve">  v. 15.03.2022 , S. 2 https://dserver.bundestag.de/btd/20/010/2001008.pdf</w:t>
      </w:r>
    </w:p>
  </w:footnote>
  <w:footnote w:id="34">
    <w:p w:rsidR="009370E5" w:rsidRDefault="00543EF0">
      <w:pPr>
        <w:pStyle w:val="Funotentext"/>
      </w:pPr>
      <w:r>
        <w:rPr>
          <w:rStyle w:val="Funotenzeichen"/>
        </w:rPr>
        <w:footnoteRef/>
      </w:r>
      <w:r>
        <w:t xml:space="preserve"> </w:t>
      </w:r>
      <w:r>
        <w:rPr>
          <w:rFonts w:ascii="Liberation Serif" w:hAnsi="Liberation Serif"/>
        </w:rPr>
        <w:t xml:space="preserve">Krajewski, Markus, Vorläufig teilweise verfassungskonform, a. a. O. </w:t>
      </w:r>
    </w:p>
  </w:footnote>
  <w:footnote w:id="35">
    <w:p w:rsidR="009370E5" w:rsidRDefault="00543EF0">
      <w:pPr>
        <w:pStyle w:val="Funotentext"/>
      </w:pPr>
      <w:r>
        <w:rPr>
          <w:rStyle w:val="Funotenzeichen"/>
        </w:rPr>
        <w:footnoteRef/>
      </w:r>
      <w:r>
        <w:t xml:space="preserve"> </w:t>
      </w:r>
      <w:r>
        <w:rPr>
          <w:rFonts w:ascii="Times New Roman" w:hAnsi="Times New Roman"/>
        </w:rPr>
        <w:t>Handelsblatt, a. a. O.</w:t>
      </w:r>
      <w:r>
        <w:t xml:space="preserve"> </w:t>
      </w:r>
    </w:p>
  </w:footnote>
  <w:footnote w:id="36">
    <w:p w:rsidR="009370E5" w:rsidRDefault="00543EF0">
      <w:pPr>
        <w:pStyle w:val="Textkrper"/>
        <w:spacing w:before="240" w:after="120"/>
      </w:pPr>
      <w:r>
        <w:rPr>
          <w:rStyle w:val="Funotenzeichen"/>
        </w:rPr>
        <w:footnoteRef/>
      </w:r>
      <w:r>
        <w:rPr>
          <w:sz w:val="20"/>
        </w:rPr>
        <w:t xml:space="preserve"> </w:t>
      </w:r>
      <w:r>
        <w:rPr>
          <w:rFonts w:ascii="Liberation Serif" w:hAnsi="Liberation Serif"/>
          <w:sz w:val="20"/>
        </w:rPr>
        <w:t xml:space="preserve">Déclaration de Catherine Collonna, ministre de l‘Europe et des </w:t>
      </w:r>
      <w:r>
        <w:rPr>
          <w:rFonts w:ascii="Liberation Serif" w:hAnsi="Liberation Serif"/>
          <w:sz w:val="20"/>
        </w:rPr>
        <w:t xml:space="preserve">affaires étrangères sur le défis et priorités de la politique étrangère de la France à l‘Assemblée nationale le 12 juillet 2002, </w:t>
      </w:r>
      <w:hyperlink r:id="rId18">
        <w:r>
          <w:rPr>
            <w:rStyle w:val="Internetverknpfung"/>
            <w:rFonts w:ascii="Liberation Serif" w:hAnsi="Liberation Serif"/>
            <w:sz w:val="20"/>
          </w:rPr>
          <w:t>https://www.vie-p</w:t>
        </w:r>
        <w:r>
          <w:rPr>
            <w:rStyle w:val="Internetverknpfung"/>
            <w:rFonts w:ascii="Liberation Serif" w:hAnsi="Liberation Serif"/>
            <w:sz w:val="20"/>
          </w:rPr>
          <w:t>ublique.fr/discours/285819-catherine-colonna-12072022-politique-etrangere</w:t>
        </w:r>
      </w:hyperlink>
    </w:p>
  </w:footnote>
  <w:footnote w:id="37">
    <w:p w:rsidR="009370E5" w:rsidRDefault="00543EF0">
      <w:pPr>
        <w:pStyle w:val="Funotentext"/>
      </w:pPr>
      <w:r>
        <w:rPr>
          <w:rStyle w:val="Funotenzeichen"/>
        </w:rPr>
        <w:footnoteRef/>
      </w:r>
      <w:r>
        <w:t xml:space="preserve"> </w:t>
      </w:r>
      <w:r>
        <w:rPr>
          <w:rFonts w:ascii="Times New Roman" w:hAnsi="Times New Roman"/>
        </w:rPr>
        <w:t xml:space="preserve">TV 5 Monde, Cinq questions sur le CETA : un traité funeste ou une chance pour l’Europe ? 24.12.2021, </w:t>
      </w:r>
      <w:hyperlink r:id="rId19">
        <w:r>
          <w:rPr>
            <w:rStyle w:val="Internetverknpfung"/>
            <w:rFonts w:ascii="Times New Roman" w:hAnsi="Times New Roman"/>
          </w:rPr>
          <w:t>https://information.tv5monde.com/info/cinq-questions-sur-le-ceta-un-traite-funeste-ou-une-chance-pour-l-</w:t>
        </w:r>
      </w:hyperlink>
      <w:r>
        <w:rPr>
          <w:rFonts w:ascii="Times New Roman" w:hAnsi="Times New Roman"/>
        </w:rPr>
        <w:t>europe-311784</w:t>
      </w:r>
    </w:p>
  </w:footnote>
  <w:footnote w:id="38">
    <w:p w:rsidR="009370E5" w:rsidRDefault="00543EF0">
      <w:pPr>
        <w:pStyle w:val="Funotentext"/>
      </w:pPr>
      <w:r>
        <w:rPr>
          <w:rStyle w:val="Funotenzeichen"/>
        </w:rPr>
        <w:footnoteRef/>
      </w:r>
      <w:r>
        <w:t xml:space="preserve"> </w:t>
      </w:r>
      <w:r>
        <w:rPr>
          <w:rFonts w:ascii="Liberation Serif" w:hAnsi="Liberation Serif"/>
        </w:rPr>
        <w:t>SPD Parteikonv</w:t>
      </w:r>
      <w:r>
        <w:rPr>
          <w:rFonts w:ascii="Liberation Serif" w:hAnsi="Liberation Serif"/>
        </w:rPr>
        <w:t>ent Wolfsburg am 19. September 2016</w:t>
      </w:r>
      <w:bookmarkStart w:id="34" w:name="page3R_mcid4"/>
      <w:bookmarkStart w:id="35" w:name="page3R_mcid5"/>
      <w:bookmarkEnd w:id="34"/>
      <w:bookmarkEnd w:id="35"/>
      <w:r>
        <w:rPr>
          <w:rFonts w:ascii="Liberation Serif" w:hAnsi="Liberation Serif"/>
        </w:rPr>
        <w:t>, Beschluss</w:t>
      </w:r>
      <w:bookmarkStart w:id="36" w:name="page3R_mcid6"/>
      <w:bookmarkStart w:id="37" w:name="page3R_mcid7"/>
      <w:bookmarkEnd w:id="36"/>
      <w:bookmarkEnd w:id="37"/>
      <w:r>
        <w:rPr>
          <w:rFonts w:ascii="Liberation Serif" w:hAnsi="Liberation Serif"/>
        </w:rPr>
        <w:t xml:space="preserve">, Globaler Handel braucht fortschrittliche Regeln,19. September 2016, </w:t>
      </w:r>
      <w:hyperlink r:id="rId20">
        <w:r>
          <w:rPr>
            <w:rStyle w:val="Internetverknpfung"/>
            <w:rFonts w:ascii="Liberation Serif" w:hAnsi="Liberation Serif"/>
          </w:rPr>
          <w:t>https://www.spd.de/fileadmin/Dokumente/Beschluesse/Part</w:t>
        </w:r>
        <w:r>
          <w:rPr>
            <w:rStyle w:val="Internetverknpfung"/>
            <w:rFonts w:ascii="Liberation Serif" w:hAnsi="Liberation Serif"/>
          </w:rPr>
          <w:t>eikonvent/</w:t>
        </w:r>
      </w:hyperlink>
      <w:r>
        <w:rPr>
          <w:rFonts w:ascii="Liberation Serif" w:hAnsi="Liberation Serif"/>
        </w:rPr>
        <w:t>IA1_Beschluss_Globaler_Handel_braucht_fortschrittliche_Regeln.pdf</w:t>
      </w:r>
    </w:p>
    <w:p w:rsidR="009370E5" w:rsidRDefault="009370E5">
      <w:pPr>
        <w:pStyle w:val="Funotentext"/>
      </w:pPr>
    </w:p>
  </w:footnote>
  <w:footnote w:id="39">
    <w:p w:rsidR="009370E5" w:rsidRDefault="00543EF0">
      <w:pPr>
        <w:pStyle w:val="Funotentext"/>
      </w:pPr>
      <w:r>
        <w:rPr>
          <w:rStyle w:val="Funotenzeichen"/>
        </w:rPr>
        <w:footnoteRef/>
      </w:r>
      <w:r>
        <w:t xml:space="preserve"> </w:t>
      </w:r>
      <w:r>
        <w:rPr>
          <w:rFonts w:ascii="Liberation Serif" w:hAnsi="Liberation Serif"/>
        </w:rPr>
        <w:t>Diese Punkte hat der ASJ-Bundesausschuss am 18. 11. in Göttingen in Interpretation des Parteikonventsbeschlusses vom 19. 9. 2016 festgestellt. Beschlussbuch, Anwendung der roten</w:t>
      </w:r>
      <w:r>
        <w:rPr>
          <w:rFonts w:ascii="Liberation Serif" w:hAnsi="Liberation Serif"/>
        </w:rPr>
        <w:t xml:space="preserve"> Linien der Parteikonvente 2014 und 2016 und des Parteitages 2015 auch beim Japan-EU Free Trade Agreement, JEFTA, sowie bei anderen vergleichbaren Abkommen und Ablehnung von JEFTA, S. 9 https://asj.spd.de/fileadmin/user_upload/Beschlussbuch_ASJ-BA_Nov2017.</w:t>
      </w:r>
      <w:r>
        <w:rPr>
          <w:rFonts w:ascii="Liberation Serif" w:hAnsi="Liberation Serif"/>
        </w:rPr>
        <w:t>pdf</w:t>
      </w:r>
    </w:p>
  </w:footnote>
  <w:footnote w:id="40">
    <w:p w:rsidR="009370E5" w:rsidRDefault="00543EF0">
      <w:pPr>
        <w:pStyle w:val="Funotentext"/>
      </w:pPr>
      <w:r>
        <w:rPr>
          <w:rStyle w:val="Funotenzeichen"/>
        </w:rPr>
        <w:footnoteRef/>
      </w:r>
      <w:r>
        <w:t xml:space="preserve"> </w:t>
      </w:r>
      <w:r>
        <w:rPr>
          <w:rFonts w:ascii="Liberation Serif" w:hAnsi="Liberation Serif"/>
        </w:rPr>
        <w:t>Bernd Lange, SPD-MdEP und Vorsitzender des Handelsausschusses des Europäischen Parlaments spricht 2016 in seiner Synopse der SPD-Kriterien und den Inhalten des CETA-Vertrages von  im Vergleich zu früheren Handelsabkommen fortschrittlicheren Regeln un</w:t>
      </w:r>
      <w:r>
        <w:rPr>
          <w:rFonts w:ascii="Liberation Serif" w:hAnsi="Liberation Serif"/>
        </w:rPr>
        <w:t>d Standards in vielen Bereichen, aber auch noch von offenen Punkten</w:t>
      </w:r>
      <w:r>
        <w:t xml:space="preserve"> </w:t>
      </w:r>
      <w:r>
        <w:rPr>
          <w:rFonts w:ascii="Liberation Serif" w:hAnsi="Liberation Serif"/>
        </w:rPr>
        <w:t>und Fragen, die im Ratifizierungsprozess zu klären seien. Dazu</w:t>
      </w:r>
      <w:r>
        <w:t xml:space="preserve"> </w:t>
      </w:r>
      <w:r>
        <w:rPr>
          <w:rFonts w:ascii="Liberation Serif" w:hAnsi="Liberation Serif"/>
        </w:rPr>
        <w:t>zählen die Sanktionsmöglichkeiten bei der Einhaltung und Durchsetzung von Arbeits- und Sozialstandards und auch die Schutzwir</w:t>
      </w:r>
      <w:r>
        <w:rPr>
          <w:rFonts w:ascii="Liberation Serif" w:hAnsi="Liberation Serif"/>
        </w:rPr>
        <w:t>kung der in CETA formulieren Ausnahmen angesichts des dort gewählten Negativlistenansatzes bei der Daseinsvorsoge im Vergleich zu der von der SPD geforderten Positivliste. Lange, Bernd, Synopse - Gegenüberstellung der SPD-Kriterien und der Inhalte des CETA</w:t>
      </w:r>
      <w:r>
        <w:rPr>
          <w:rFonts w:ascii="Liberation Serif" w:hAnsi="Liberation Serif"/>
        </w:rPr>
        <w:t>-Vertrages, Juli 2016, https://www.spd.de/fileadmin/Dokumente/Sonstiges/Synopse_CETA_Lange.pdf</w:t>
      </w:r>
    </w:p>
  </w:footnote>
  <w:footnote w:id="41">
    <w:p w:rsidR="009370E5" w:rsidRDefault="00543EF0">
      <w:pPr>
        <w:pStyle w:val="Funotentext"/>
      </w:pPr>
      <w:r>
        <w:rPr>
          <w:rStyle w:val="Funotenzeichen"/>
        </w:rPr>
        <w:footnoteRef/>
      </w:r>
      <w:r>
        <w:t xml:space="preserve"> </w:t>
      </w:r>
      <w:r>
        <w:rPr>
          <w:rFonts w:ascii="Liberation Serif" w:hAnsi="Liberation Serif"/>
        </w:rPr>
        <w:t xml:space="preserve">Musterantrag </w:t>
      </w:r>
      <w:r>
        <w:rPr>
          <w:rFonts w:ascii="Liberation Serif" w:hAnsi="Liberation Serif"/>
        </w:rPr>
        <w:t>der ASJ zum Freihandelsabkommen zwischen Kanada und der EU- CETA, Keine vorläufige Anwendbarkeit von CETA und keine Zustimmung zu dem Vertrag in d</w:t>
      </w:r>
      <w:r>
        <w:rPr>
          <w:rFonts w:ascii="Liberation Serif" w:hAnsi="Liberation Serif"/>
        </w:rPr>
        <w:t xml:space="preserve">er aktuellen Fassung, Beschluss 2 des Bundesausschusses ASJ am 29.05.2016 in Hamburg, </w:t>
      </w:r>
      <w:hyperlink r:id="rId21">
        <w:r>
          <w:rPr>
            <w:rStyle w:val="Internetverknpfung"/>
            <w:rFonts w:ascii="Liberation Serif" w:hAnsi="Liberation Serif"/>
          </w:rPr>
          <w:t>https://asj.spd.de/fileadmin/asj/Beschluesse/Bundesausschuss/BA_2016/</w:t>
        </w:r>
      </w:hyperlink>
      <w:r>
        <w:rPr>
          <w:rFonts w:ascii="Liberation Serif" w:hAnsi="Liberation Serif"/>
        </w:rPr>
        <w:t>Beschlussbuc</w:t>
      </w:r>
      <w:r>
        <w:rPr>
          <w:rFonts w:ascii="Liberation Serif" w:hAnsi="Liberation Serif"/>
        </w:rPr>
        <w:t xml:space="preserve">h_Bundesausschuss_2016_Hamburg.pdf </w:t>
      </w:r>
    </w:p>
  </w:footnote>
  <w:footnote w:id="42">
    <w:p w:rsidR="009370E5" w:rsidRDefault="00543EF0">
      <w:pPr>
        <w:pStyle w:val="Funotentext"/>
      </w:pPr>
      <w:r>
        <w:rPr>
          <w:rStyle w:val="Funotenzeichen"/>
        </w:rPr>
        <w:footnoteRef/>
      </w:r>
      <w:r>
        <w:t xml:space="preserve"> </w:t>
      </w:r>
      <w:r>
        <w:rPr>
          <w:rFonts w:ascii="Liberation Serif" w:hAnsi="Liberation Serif"/>
        </w:rPr>
        <w:t xml:space="preserve">Multilateraler </w:t>
      </w:r>
      <w:r>
        <w:rPr>
          <w:rFonts w:ascii="Liberation Serif" w:hAnsi="Liberation Serif"/>
        </w:rPr>
        <w:t xml:space="preserve">Investitionsgerichtshof nicht so!, Beschlussbuch zum ASJ-Bundesausschuss am 22. April 2018 in Wiesbaden, Beschluss Nr. 2, S. 8 ff. </w:t>
      </w:r>
      <w:hyperlink r:id="rId22">
        <w:r>
          <w:rPr>
            <w:rStyle w:val="Internetverknpfung"/>
            <w:rFonts w:ascii="Liberation Serif" w:hAnsi="Liberation Serif"/>
          </w:rPr>
          <w:t>https://asj.spd.de/fileadmin/asj/Beschluesse/Bundesausschuss/BA_2018/</w:t>
        </w:r>
      </w:hyperlink>
      <w:r>
        <w:rPr>
          <w:rFonts w:ascii="Liberation Serif" w:hAnsi="Liberation Serif"/>
        </w:rPr>
        <w:t>Beschlussbuch_ASJ-BA_Apr2018.pdf</w:t>
      </w:r>
    </w:p>
  </w:footnote>
  <w:footnote w:id="43">
    <w:p w:rsidR="009370E5" w:rsidRDefault="00543EF0">
      <w:pPr>
        <w:pStyle w:val="Funotentext"/>
      </w:pPr>
      <w:r>
        <w:rPr>
          <w:rStyle w:val="Funotenzeichen"/>
        </w:rPr>
        <w:footnoteRef/>
      </w:r>
      <w:r>
        <w:t xml:space="preserve"> </w:t>
      </w:r>
      <w:r>
        <w:rPr>
          <w:rFonts w:ascii="Liberation Serif" w:hAnsi="Liberation Serif"/>
        </w:rPr>
        <w:t xml:space="preserve">Die Kommission </w:t>
      </w:r>
      <w:r>
        <w:rPr>
          <w:rFonts w:ascii="Liberation Serif" w:hAnsi="Liberation Serif"/>
        </w:rPr>
        <w:t>veröffentlicht auf einer Internetseite die auf die Terminplanung aller Ausschüsse und Dialoge, die Tagesordnungen der Si</w:t>
      </w:r>
      <w:r>
        <w:rPr>
          <w:rFonts w:ascii="Liberation Serif" w:hAnsi="Liberation Serif"/>
        </w:rPr>
        <w:t>tzungen sowie die Sitzungsberichte: http://trade.ec.europa.eu/doclib/press/index.cfm?id=1811&amp;title=CETA-Meetings-and-documents</w:t>
      </w:r>
    </w:p>
  </w:footnote>
  <w:footnote w:id="44">
    <w:p w:rsidR="009370E5" w:rsidRDefault="00543EF0">
      <w:pPr>
        <w:pStyle w:val="Funotentext"/>
      </w:pPr>
      <w:r>
        <w:rPr>
          <w:rStyle w:val="Funotenzeichen"/>
        </w:rPr>
        <w:footnoteRef/>
      </w:r>
      <w:r>
        <w:t xml:space="preserve"> f</w:t>
      </w:r>
      <w:r>
        <w:rPr>
          <w:rFonts w:ascii="Liberation Serif" w:hAnsi="Liberation Serif"/>
        </w:rPr>
        <w:t>oodwatch/</w:t>
      </w:r>
      <w:r>
        <w:rPr>
          <w:rFonts w:ascii="Liberation Serif" w:hAnsi="Liberation Serif"/>
        </w:rPr>
        <w:t>The Council of Canadians, a. a. O.</w:t>
      </w:r>
      <w:r>
        <w:t xml:space="preserve"> </w:t>
      </w:r>
    </w:p>
  </w:footnote>
  <w:footnote w:id="45">
    <w:p w:rsidR="009370E5" w:rsidRDefault="00543EF0">
      <w:pPr>
        <w:pStyle w:val="Funotentext"/>
      </w:pPr>
      <w:r>
        <w:rPr>
          <w:rStyle w:val="Funotenzeichen"/>
        </w:rPr>
        <w:footnoteRef/>
      </w:r>
      <w:r>
        <w:t xml:space="preserve"> </w:t>
      </w:r>
      <w:r>
        <w:rPr>
          <w:rFonts w:ascii="Liberation Serif" w:hAnsi="Liberation Serif"/>
        </w:rPr>
        <w:t xml:space="preserve">Weiß, </w:t>
      </w:r>
      <w:r>
        <w:rPr>
          <w:rFonts w:ascii="Liberation Serif" w:hAnsi="Liberation Serif"/>
        </w:rPr>
        <w:t>Wolfgang, Zur Rolle von Treaty Committees in CETA und anderen jüngeren Fr</w:t>
      </w:r>
      <w:r>
        <w:rPr>
          <w:rFonts w:ascii="Liberation Serif" w:hAnsi="Liberation Serif"/>
        </w:rPr>
        <w:t>eihandelsabkommen der EU, Expertise im Auftrag von foodwatch, o. O., o. J., https://foodwatch.org/fileadmin/-DE/Themen/Freihandelsabkommen/FAQ_CETA-Ausschuesse.pdf</w:t>
      </w:r>
    </w:p>
  </w:footnote>
  <w:footnote w:id="46">
    <w:p w:rsidR="009370E5" w:rsidRDefault="00543EF0">
      <w:pPr>
        <w:pStyle w:val="Funotentext"/>
      </w:pPr>
      <w:r>
        <w:rPr>
          <w:rStyle w:val="Funotenzeichen"/>
        </w:rPr>
        <w:footnoteRef/>
      </w:r>
      <w:r>
        <w:t xml:space="preserve"> </w:t>
      </w:r>
      <w:r>
        <w:rPr>
          <w:rFonts w:ascii="Liberation Serif" w:hAnsi="Liberation Serif"/>
        </w:rPr>
        <w:t>Bundesregierung, Entwurf für ein Gesetz zu dem Umfassenden Wirtschafts- und Handelsabkomme</w:t>
      </w:r>
      <w:r>
        <w:rPr>
          <w:rFonts w:ascii="Liberation Serif" w:hAnsi="Liberation Serif"/>
        </w:rPr>
        <w:t>n CETA)  a. a. O., S. 6</w:t>
      </w:r>
    </w:p>
  </w:footnote>
  <w:footnote w:id="47">
    <w:p w:rsidR="009370E5" w:rsidRDefault="00543EF0">
      <w:pPr>
        <w:pStyle w:val="Funotentext"/>
      </w:pPr>
      <w:r>
        <w:rPr>
          <w:rStyle w:val="Funotenzeichen"/>
        </w:rPr>
        <w:footnoteRef/>
      </w:r>
      <w:r>
        <w:t xml:space="preserve"> </w:t>
      </w:r>
      <w:r>
        <w:rPr>
          <w:rFonts w:ascii="Liberation Serif" w:hAnsi="Liberation Serif"/>
        </w:rPr>
        <w:t>Vgl. dazu im Einzelnen und ausführlich das Gespräch mit Rainer Plaßmann, Leiter der Stabsstelle Daseinsvorsorge der Stadtwerke Köln in: Köller, Thomas, Waiz, Eberhard, CETA&amp;Co. Und die Zukunft der Demokratie. Gespräche mit Andreas</w:t>
      </w:r>
      <w:r>
        <w:rPr>
          <w:rFonts w:ascii="Liberation Serif" w:hAnsi="Liberation Serif"/>
        </w:rPr>
        <w:t xml:space="preserve"> Fisahn, Hans-Jürgen Blinn und Rainer Plaßmann, Düsseldorf 2018, 95 ff.</w:t>
      </w:r>
    </w:p>
  </w:footnote>
  <w:footnote w:id="48">
    <w:p w:rsidR="009370E5" w:rsidRDefault="00543EF0">
      <w:pPr>
        <w:pStyle w:val="Funotentext"/>
      </w:pPr>
      <w:r>
        <w:rPr>
          <w:rStyle w:val="Funotenzeichen"/>
        </w:rPr>
        <w:footnoteRef/>
      </w:r>
      <w:r>
        <w:t xml:space="preserve"> </w:t>
      </w:r>
      <w:r>
        <w:rPr>
          <w:rFonts w:ascii="Liberation Serif" w:hAnsi="Liberation Serif"/>
        </w:rPr>
        <w:t>Köller, Thomas, Waiz, Eberhard, a. a. O. S 144 ff.</w:t>
      </w:r>
      <w:r>
        <w:t xml:space="preserve"> </w:t>
      </w:r>
    </w:p>
  </w:footnote>
  <w:footnote w:id="49">
    <w:p w:rsidR="009370E5" w:rsidRDefault="00543EF0">
      <w:pPr>
        <w:pStyle w:val="Funotentext"/>
      </w:pPr>
      <w:r>
        <w:rPr>
          <w:rStyle w:val="Funotenzeichen"/>
        </w:rPr>
        <w:footnoteRef/>
      </w:r>
      <w:r>
        <w:t xml:space="preserve"> </w:t>
      </w:r>
      <w:r>
        <w:rPr>
          <w:rFonts w:ascii="Liberation Serif" w:hAnsi="Liberation Serif"/>
        </w:rPr>
        <w:t>Köller, Thomas, Waiz, Eberhard, a. a. O., S. 117f.</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E5" w:rsidRDefault="009370E5">
    <w:pPr>
      <w:pStyle w:val="Kopfzeile"/>
    </w:pPr>
  </w:p>
  <w:p w:rsidR="009370E5" w:rsidRDefault="009370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318" w:type="dxa"/>
      <w:tblLook w:val="0000" w:firstRow="0" w:lastRow="0" w:firstColumn="0" w:lastColumn="0" w:noHBand="0" w:noVBand="0"/>
    </w:tblPr>
    <w:tblGrid>
      <w:gridCol w:w="2978"/>
      <w:gridCol w:w="7371"/>
    </w:tblGrid>
    <w:tr w:rsidR="009370E5">
      <w:trPr>
        <w:trHeight w:val="23"/>
      </w:trPr>
      <w:tc>
        <w:tcPr>
          <w:tcW w:w="2978" w:type="dxa"/>
          <w:shd w:val="clear" w:color="auto" w:fill="FFFFFF"/>
        </w:tcPr>
        <w:p w:rsidR="009370E5" w:rsidRDefault="00543EF0">
          <w:pPr>
            <w:snapToGrid w:val="0"/>
            <w:rPr>
              <w:rFonts w:ascii="Calibri" w:eastAsia="Calibri" w:hAnsi="Calibri" w:cs="Calibri"/>
              <w:sz w:val="26"/>
            </w:rPr>
          </w:pPr>
          <w:r>
            <w:object w:dxaOrig="2714" w:dyaOrig="1274">
              <v:shape id="ole_rId1" o:spid="_x0000_i1025" style="width:135.75pt;height:63.75pt" coordsize="" o:spt="100" adj="0,,0" path="" stroked="f">
                <v:stroke joinstyle="miter"/>
                <v:imagedata r:id="rId1" o:title=""/>
                <v:formulas/>
                <v:path o:connecttype="segments"/>
              </v:shape>
              <o:OLEObject Type="Embed" ProgID="StaticMetafile" ShapeID="ole_rId1" DrawAspect="Content" ObjectID="_1727552817" r:id="rId2"/>
            </w:object>
          </w:r>
          <w:r>
            <w:rPr>
              <w:noProof/>
            </w:rPr>
            <mc:AlternateContent>
              <mc:Choice Requires="wps">
                <w:drawing>
                  <wp:inline distT="0" distB="0" distL="0" distR="0" wp14:anchorId="71A7381C">
                    <wp:extent cx="1746250" cy="831850"/>
                    <wp:effectExtent l="0" t="0" r="0" b="0"/>
                    <wp:docPr id="1" name="Form1"/>
                    <wp:cNvGraphicFramePr/>
                    <a:graphic xmlns:a="http://schemas.openxmlformats.org/drawingml/2006/main">
                      <a:graphicData uri="http://schemas.microsoft.com/office/word/2010/wordprocessingShape">
                        <wps:wsp>
                          <wps:cNvSpPr/>
                          <wps:spPr>
                            <a:xfrm>
                              <a:off x="0" y="0"/>
                              <a:ext cx="1745640" cy="831240"/>
                            </a:xfrm>
                            <a:prstGeom prst="rect">
                              <a:avLst/>
                            </a:prstGeom>
                            <a:no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1" stroked="f" style="position:absolute;margin-left:0pt;margin-top:-65.5pt;width:137.4pt;height:65.4pt;mso-position-vertical:top" wp14:anchorId="71A7381C">
                    <w10:wrap type="none"/>
                    <v:fill o:detectmouseclick="t" on="false"/>
                    <v:stroke color="#3465a4" joinstyle="round" endcap="flat"/>
                  </v:rect>
                </w:pict>
              </mc:Fallback>
            </mc:AlternateContent>
          </w:r>
        </w:p>
      </w:tc>
      <w:tc>
        <w:tcPr>
          <w:tcW w:w="7370" w:type="dxa"/>
          <w:shd w:val="clear" w:color="auto" w:fill="FFFFFF"/>
        </w:tcPr>
        <w:p w:rsidR="009370E5" w:rsidRDefault="00543EF0">
          <w:pPr>
            <w:snapToGrid w:val="0"/>
            <w:ind w:right="-791"/>
          </w:pPr>
          <w:r>
            <w:rPr>
              <w:rFonts w:ascii="Calibri" w:eastAsia="Calibri" w:hAnsi="Calibri" w:cs="Calibri"/>
              <w:sz w:val="26"/>
            </w:rPr>
            <w:t>Sozialdemokratische Partei Deutschlands</w:t>
          </w:r>
        </w:p>
        <w:p w:rsidR="009370E5" w:rsidRDefault="00543EF0">
          <w:pPr>
            <w:ind w:right="-791"/>
          </w:pPr>
          <w:r>
            <w:rPr>
              <w:rFonts w:ascii="Calibri" w:eastAsia="Calibri" w:hAnsi="Calibri" w:cs="Calibri"/>
              <w:b/>
              <w:sz w:val="26"/>
            </w:rPr>
            <w:t>Arbeitsgemeinschaft sozialdemokratischer Juristinnen und Juristen</w:t>
          </w:r>
        </w:p>
      </w:tc>
    </w:tr>
  </w:tbl>
  <w:p w:rsidR="009370E5" w:rsidRDefault="009370E5">
    <w:pPr>
      <w:rPr>
        <w:rFonts w:ascii="Univers (W1)" w:hAnsi="Univers (W1)" w:cs="Univers (W1)"/>
        <w:b/>
        <w:sz w:val="24"/>
      </w:rPr>
    </w:pPr>
  </w:p>
  <w:p w:rsidR="009370E5" w:rsidRDefault="00543EF0">
    <w:pPr>
      <w:pStyle w:val="SPD"/>
      <w:tabs>
        <w:tab w:val="left" w:pos="8931"/>
      </w:tabs>
      <w:ind w:left="0"/>
      <w:rPr>
        <w:rFonts w:ascii="Univers (W1)" w:hAnsi="Univers (W1)" w:cs="Univers (W1)"/>
        <w:b w:val="0"/>
        <w:sz w:val="21"/>
        <w:szCs w:val="21"/>
      </w:rPr>
    </w:pPr>
    <w:r>
      <w:rPr>
        <w:rFonts w:ascii="Univers (W1)" w:hAnsi="Univers (W1)" w:cs="Univers (W1)"/>
        <w:b w:val="0"/>
        <w:noProof/>
        <w:sz w:val="21"/>
        <w:szCs w:val="21"/>
      </w:rPr>
      <mc:AlternateContent>
        <mc:Choice Requires="wps">
          <w:drawing>
            <wp:anchor distT="0" distB="0" distL="0" distR="0" simplePos="0" relativeHeight="2" behindDoc="1" locked="0" layoutInCell="1" allowOverlap="1" wp14:anchorId="771E6E8C">
              <wp:simplePos x="0" y="0"/>
              <wp:positionH relativeFrom="column">
                <wp:posOffset>5271135</wp:posOffset>
              </wp:positionH>
              <wp:positionV relativeFrom="paragraph">
                <wp:posOffset>29210</wp:posOffset>
              </wp:positionV>
              <wp:extent cx="774065" cy="354965"/>
              <wp:effectExtent l="3810" t="635" r="6350" b="0"/>
              <wp:wrapNone/>
              <wp:docPr id="2" name="Text Box 3"/>
              <wp:cNvGraphicFramePr/>
              <a:graphic xmlns:a="http://schemas.openxmlformats.org/drawingml/2006/main">
                <a:graphicData uri="http://schemas.microsoft.com/office/word/2010/wordprocessingShape">
                  <wps:wsp>
                    <wps:cNvSpPr/>
                    <wps:spPr>
                      <a:xfrm>
                        <a:off x="0" y="0"/>
                        <a:ext cx="773280" cy="354240"/>
                      </a:xfrm>
                      <a:prstGeom prst="rect">
                        <a:avLst/>
                      </a:prstGeom>
                      <a:noFill/>
                      <a:ln>
                        <a:noFill/>
                      </a:ln>
                    </wps:spPr>
                    <wps:style>
                      <a:lnRef idx="0">
                        <a:scrgbClr r="0" g="0" b="0"/>
                      </a:lnRef>
                      <a:fillRef idx="0">
                        <a:scrgbClr r="0" g="0" b="0"/>
                      </a:fillRef>
                      <a:effectRef idx="0">
                        <a:scrgbClr r="0" g="0" b="0"/>
                      </a:effectRef>
                      <a:fontRef idx="minor"/>
                    </wps:style>
                    <wps:txbx>
                      <w:txbxContent>
                        <w:p w:rsidR="009370E5" w:rsidRDefault="009370E5">
                          <w:pPr>
                            <w:pStyle w:val="Rahmeninhalt"/>
                            <w:tabs>
                              <w:tab w:val="clear" w:pos="-1560"/>
                              <w:tab w:val="clear" w:pos="2268"/>
                              <w:tab w:val="clear" w:pos="2977"/>
                              <w:tab w:val="clear" w:pos="4536"/>
                              <w:tab w:val="clear" w:pos="6379"/>
                              <w:tab w:val="left" w:pos="0"/>
                            </w:tabs>
                            <w:rPr>
                              <w:b/>
                              <w:color w:val="999999"/>
                              <w:sz w:val="17"/>
                              <w:szCs w:val="17"/>
                            </w:rPr>
                          </w:pPr>
                        </w:p>
                      </w:txbxContent>
                    </wps:txbx>
                    <wps:bodyPr lIns="14040" tIns="14040" rIns="14040" bIns="14040">
                      <a:noAutofit/>
                    </wps:bodyPr>
                  </wps:wsp>
                </a:graphicData>
              </a:graphic>
            </wp:anchor>
          </w:drawing>
        </mc:Choice>
        <mc:Fallback>
          <w:pict>
            <v:rect id="shape_0" ID="Text Box 3" stroked="f" style="position:absolute;margin-left:415.05pt;margin-top:2.3pt;width:60.85pt;height:27.85pt" wp14:anchorId="771E6E8C">
              <w10:wrap type="none"/>
              <v:fill o:detectmouseclick="t" on="false"/>
              <v:stroke color="#3465a4" joinstyle="round" endcap="flat"/>
              <v:textbox>
                <w:txbxContent>
                  <w:p>
                    <w:pPr>
                      <w:pStyle w:val="Rahmeninhalt"/>
                      <w:tabs>
                        <w:tab w:val="clear" w:pos="-1560"/>
                        <w:tab w:val="clear" w:pos="2268"/>
                        <w:tab w:val="clear" w:pos="2977"/>
                        <w:tab w:val="clear" w:pos="4536"/>
                        <w:tab w:val="clear" w:pos="6379"/>
                        <w:tab w:val="left" w:pos="0" w:leader="none"/>
                      </w:tabs>
                      <w:rPr>
                        <w:b/>
                        <w:b/>
                        <w:color w:val="999999"/>
                        <w:sz w:val="17"/>
                        <w:szCs w:val="17"/>
                      </w:rPr>
                    </w:pPr>
                    <w:r>
                      <w:rPr>
                        <w:b/>
                        <w:color w:val="999999"/>
                        <w:sz w:val="17"/>
                        <w:szCs w:val="17"/>
                      </w:rPr>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D253A"/>
    <w:multiLevelType w:val="multilevel"/>
    <w:tmpl w:val="B936C4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B950823"/>
    <w:multiLevelType w:val="multilevel"/>
    <w:tmpl w:val="B778279C"/>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B011F89"/>
    <w:multiLevelType w:val="multilevel"/>
    <w:tmpl w:val="F11445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1325"/>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E5"/>
    <w:rsid w:val="00543EF0"/>
    <w:rsid w:val="0090425D"/>
    <w:rsid w:val="009370E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A19D57-B5DF-4D70-A4A5-366B890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val="0"/>
    </w:pPr>
    <w:rPr>
      <w:rFonts w:ascii="Garamond" w:hAnsi="Garamond" w:cs="Garamond"/>
      <w:sz w:val="28"/>
      <w:szCs w:val="22"/>
      <w:lang w:eastAsia="zh-CN"/>
    </w:rPr>
  </w:style>
  <w:style w:type="paragraph" w:styleId="berschrift1">
    <w:name w:val="heading 1"/>
    <w:basedOn w:val="Standard"/>
    <w:next w:val="Standard"/>
    <w:qFormat/>
    <w:pPr>
      <w:keepNext/>
      <w:numPr>
        <w:numId w:val="1"/>
      </w:numPr>
      <w:ind w:left="142" w:right="-1277" w:firstLine="0"/>
      <w:outlineLvl w:val="0"/>
    </w:pPr>
    <w:rPr>
      <w:rFonts w:ascii="SPD 2002 TheSans" w:hAnsi="SPD 2002 TheSans" w:cs="SPD 2002 TheSans"/>
      <w:sz w:val="40"/>
    </w:rPr>
  </w:style>
  <w:style w:type="paragraph" w:styleId="berschrift2">
    <w:name w:val="heading 2"/>
    <w:basedOn w:val="Standard"/>
    <w:next w:val="Standard"/>
    <w:qFormat/>
    <w:pPr>
      <w:keepNext/>
      <w:numPr>
        <w:ilvl w:val="1"/>
        <w:numId w:val="1"/>
      </w:numPr>
      <w:ind w:left="142" w:firstLine="0"/>
      <w:outlineLvl w:val="1"/>
    </w:pPr>
    <w:rPr>
      <w:rFonts w:ascii="SPD 2002 TheSans" w:hAnsi="SPD 2002 TheSans" w:cs="SPD 2002 TheSans"/>
    </w:rPr>
  </w:style>
  <w:style w:type="paragraph" w:styleId="berschrift4">
    <w:name w:val="heading 4"/>
    <w:basedOn w:val="Standard"/>
    <w:next w:val="Standard"/>
    <w:qFormat/>
    <w:pPr>
      <w:keepNext/>
      <w:numPr>
        <w:ilvl w:val="3"/>
        <w:numId w:val="1"/>
      </w:numPr>
      <w:jc w:val="center"/>
      <w:textAlignment w:val="baseline"/>
      <w:outlineLvl w:val="3"/>
    </w:pPr>
    <w:rPr>
      <w:rFonts w:ascii="Futura Md BT" w:hAnsi="Futura Md BT" w:cs="Futura Md BT"/>
      <w:b/>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OpenSymbol"/>
      <w:sz w:val="24"/>
      <w:szCs w:val="24"/>
    </w:rPr>
  </w:style>
  <w:style w:type="character" w:customStyle="1" w:styleId="WW8Num2z1">
    <w:name w:val="WW8Num2z1"/>
    <w:qFormat/>
    <w:rPr>
      <w:rFonts w:ascii="OpenSymbol" w:hAnsi="OpenSymbol" w:cs="OpenSymbol"/>
    </w:rPr>
  </w:style>
  <w:style w:type="character" w:customStyle="1" w:styleId="WW8Num3z0">
    <w:name w:val="WW8Num3z0"/>
    <w:qFormat/>
    <w:rPr>
      <w:rFonts w:ascii="Symbol" w:hAnsi="Symbol" w:cs="OpenSymbol"/>
      <w:sz w:val="24"/>
      <w:szCs w:val="24"/>
    </w:rPr>
  </w:style>
  <w:style w:type="character" w:customStyle="1" w:styleId="WW8Num3z1">
    <w:name w:val="WW8Num3z1"/>
    <w:qFormat/>
    <w:rPr>
      <w:rFonts w:ascii="OpenSymbol" w:hAnsi="OpenSymbol" w:cs="OpenSymbol"/>
    </w:rPr>
  </w:style>
  <w:style w:type="character" w:customStyle="1" w:styleId="WW8Num4z0">
    <w:name w:val="WW8Num4z0"/>
    <w:qFormat/>
    <w:rPr>
      <w:rFonts w:ascii="Symbol" w:hAnsi="Symbol" w:cs="OpenSymbol"/>
      <w:sz w:val="24"/>
      <w:szCs w:val="24"/>
    </w:rPr>
  </w:style>
  <w:style w:type="character" w:customStyle="1" w:styleId="WW8Num4z1">
    <w:name w:val="WW8Num4z1"/>
    <w:qFormat/>
    <w:rPr>
      <w:rFonts w:ascii="OpenSymbol" w:hAnsi="OpenSymbol" w:cs="OpenSymbol"/>
    </w:rPr>
  </w:style>
  <w:style w:type="character" w:customStyle="1" w:styleId="WW8Num5z0">
    <w:name w:val="WW8Num5z0"/>
    <w:qFormat/>
    <w:rPr>
      <w:rFonts w:ascii="Symbol" w:hAnsi="Symbol" w:cs="OpenSymbol"/>
      <w:sz w:val="24"/>
      <w:szCs w:val="24"/>
    </w:rPr>
  </w:style>
  <w:style w:type="character" w:customStyle="1" w:styleId="WW8Num5z1">
    <w:name w:val="WW8Num5z1"/>
    <w:qFormat/>
    <w:rPr>
      <w:rFonts w:ascii="OpenSymbol" w:hAnsi="OpenSymbol" w:cs="OpenSymbol"/>
    </w:rPr>
  </w:style>
  <w:style w:type="character" w:customStyle="1" w:styleId="WW8Num6z0">
    <w:name w:val="WW8Num6z0"/>
    <w:qFormat/>
    <w:rPr>
      <w:rFonts w:ascii="Symbol" w:hAnsi="Symbol" w:cs="OpenSymbol"/>
      <w:sz w:val="24"/>
      <w:szCs w:val="24"/>
    </w:rPr>
  </w:style>
  <w:style w:type="character" w:customStyle="1" w:styleId="WW8Num6z1">
    <w:name w:val="WW8Num6z1"/>
    <w:qFormat/>
    <w:rPr>
      <w:rFonts w:ascii="OpenSymbol" w:hAnsi="OpenSymbol" w:cs="OpenSymbol"/>
    </w:rPr>
  </w:style>
  <w:style w:type="character" w:customStyle="1" w:styleId="Absatz-Standardschriftart3">
    <w:name w:val="Absatz-Standardschriftart3"/>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2">
    <w:name w:val="Absatz-Standardschriftart2"/>
    <w:qFormat/>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Absatz-Standardschriftart1">
    <w:name w:val="Absatz-Standardschriftart1"/>
    <w:qFormat/>
  </w:style>
  <w:style w:type="character" w:customStyle="1" w:styleId="Nachrichtenkopfbeschriftung">
    <w:name w:val="Nachrichtenkopfbeschriftung"/>
    <w:qFormat/>
    <w:rPr>
      <w:rFonts w:ascii="Arial" w:hAnsi="Arial" w:cs="Arial"/>
      <w:b/>
      <w:spacing w:val="-4"/>
      <w:sz w:val="18"/>
    </w:rPr>
  </w:style>
  <w:style w:type="character" w:customStyle="1" w:styleId="Betont">
    <w:name w:val="Betont"/>
    <w:qFormat/>
    <w:rPr>
      <w:rFonts w:ascii="Arial" w:hAnsi="Arial" w:cs="Arial"/>
      <w:b/>
      <w:spacing w:val="-10"/>
      <w:sz w:val="18"/>
    </w:rPr>
  </w:style>
  <w:style w:type="character" w:customStyle="1" w:styleId="textexposedshow">
    <w:name w:val="text_exposed_show"/>
    <w:basedOn w:val="Absatz-Standardschriftart1"/>
    <w:qFormat/>
  </w:style>
  <w:style w:type="character" w:styleId="Zeilennummer">
    <w:name w:val="line number"/>
    <w:basedOn w:val="Absatz-Standardschriftart1"/>
    <w:qFormat/>
  </w:style>
  <w:style w:type="character" w:customStyle="1" w:styleId="Char">
    <w:name w:val="Char"/>
    <w:qFormat/>
    <w:rPr>
      <w:rFonts w:ascii="Arial" w:hAnsi="Arial" w:cs="Arial"/>
      <w:sz w:val="22"/>
    </w:rPr>
  </w:style>
  <w:style w:type="character" w:customStyle="1" w:styleId="Kommentarzeichen1">
    <w:name w:val="Kommentarzeichen1"/>
    <w:qFormat/>
    <w:rPr>
      <w:sz w:val="16"/>
      <w:szCs w:val="16"/>
    </w:rPr>
  </w:style>
  <w:style w:type="character" w:customStyle="1" w:styleId="KommentartextZchn">
    <w:name w:val="Kommentartext Zchn"/>
    <w:qFormat/>
    <w:rPr>
      <w:rFonts w:ascii="Garamond" w:hAnsi="Garamond" w:cs="Garamond"/>
    </w:rPr>
  </w:style>
  <w:style w:type="character" w:customStyle="1" w:styleId="KommentarthemaZchn">
    <w:name w:val="Kommentarthema Zchn"/>
    <w:qFormat/>
    <w:rPr>
      <w:rFonts w:ascii="Garamond" w:hAnsi="Garamond" w:cs="Garamond"/>
      <w:b/>
      <w:bCs/>
    </w:rPr>
  </w:style>
  <w:style w:type="character" w:customStyle="1" w:styleId="Internetverknpfung">
    <w:name w:val="Internetverknüpfung"/>
    <w:rPr>
      <w:color w:val="000080"/>
      <w:u w:val="single"/>
    </w:rPr>
  </w:style>
  <w:style w:type="character" w:customStyle="1" w:styleId="Aufzhlungszeichen1">
    <w:name w:val="Aufzählungszeichen1"/>
    <w:qFormat/>
    <w:rPr>
      <w:rFonts w:ascii="OpenSymbol" w:eastAsia="OpenSymbol" w:hAnsi="OpenSymbol" w:cs="OpenSymbol"/>
    </w:rPr>
  </w:style>
  <w:style w:type="character" w:styleId="Fett">
    <w:name w:val="Strong"/>
    <w:qFormat/>
    <w:rPr>
      <w:b/>
      <w:bCs/>
    </w:rPr>
  </w:style>
  <w:style w:type="character" w:customStyle="1" w:styleId="Kommentarzeichen2">
    <w:name w:val="Kommentarzeichen2"/>
    <w:qFormat/>
    <w:rPr>
      <w:sz w:val="16"/>
      <w:szCs w:val="16"/>
    </w:rPr>
  </w:style>
  <w:style w:type="character" w:customStyle="1" w:styleId="KommentartextZchn1">
    <w:name w:val="Kommentartext Zchn1"/>
    <w:qFormat/>
    <w:rPr>
      <w:rFonts w:ascii="Garamond" w:hAnsi="Garamond" w:cs="Garamond"/>
      <w:lang w:eastAsia="zh-CN"/>
    </w:rPr>
  </w:style>
  <w:style w:type="character" w:customStyle="1" w:styleId="FunotentextZchn">
    <w:name w:val="Fußnotentext Zchn"/>
    <w:basedOn w:val="Absatz-Standardschriftart"/>
    <w:link w:val="Funotentext"/>
    <w:uiPriority w:val="99"/>
    <w:semiHidden/>
    <w:qFormat/>
    <w:rsid w:val="008E6542"/>
    <w:rPr>
      <w:rFonts w:asciiTheme="minorHAnsi" w:eastAsiaTheme="minorHAnsi" w:hAnsiTheme="minorHAnsi" w:cstheme="minorBidi"/>
      <w:lang w:eastAsia="en-US"/>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8E6542"/>
    <w:rPr>
      <w:vertAlign w:val="superscript"/>
    </w:rPr>
  </w:style>
  <w:style w:type="character" w:customStyle="1" w:styleId="FuzeileZchn">
    <w:name w:val="Fußzeile Zchn"/>
    <w:basedOn w:val="Absatz-Standardschriftart"/>
    <w:link w:val="Fuzeile"/>
    <w:uiPriority w:val="99"/>
    <w:qFormat/>
    <w:rsid w:val="00200E1E"/>
    <w:rPr>
      <w:rFonts w:ascii="Arial" w:hAnsi="Arial" w:cs="Arial"/>
      <w:sz w:val="22"/>
      <w:lang w:eastAsia="zh-CN"/>
    </w:rPr>
  </w:style>
  <w:style w:type="character" w:customStyle="1" w:styleId="Zeilennummerierung">
    <w:name w:val="Zeilennummerierung"/>
  </w:style>
  <w:style w:type="character" w:customStyle="1" w:styleId="Starkbetont">
    <w:name w:val="Stark betont"/>
    <w:qFormat/>
    <w:rPr>
      <w:b/>
      <w:bCs/>
    </w:rPr>
  </w:style>
  <w:style w:type="character" w:styleId="Funotenzeichen">
    <w:name w:val="footnote reference"/>
    <w:qFormat/>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Arial" w:eastAsia="SimSun" w:hAnsi="Arial" w:cs="Tahoma"/>
      <w:szCs w:val="28"/>
    </w:rPr>
  </w:style>
  <w:style w:type="paragraph" w:styleId="Textkrper">
    <w:name w:val="Body Text"/>
    <w:basedOn w:val="Standard"/>
    <w:pPr>
      <w:tabs>
        <w:tab w:val="left" w:pos="-1560"/>
        <w:tab w:val="left" w:pos="2268"/>
        <w:tab w:val="left" w:pos="2977"/>
        <w:tab w:val="left" w:pos="4536"/>
        <w:tab w:val="left" w:pos="6379"/>
      </w:tabs>
      <w:ind w:right="-568"/>
      <w:textAlignment w:val="baseline"/>
    </w:pPr>
    <w:rPr>
      <w:rFonts w:ascii="Futura Medium" w:hAnsi="Futura Medium" w:cs="Futura Medium"/>
      <w:sz w:val="16"/>
      <w:szCs w:val="20"/>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Tahoma"/>
    </w:rPr>
  </w:style>
  <w:style w:type="paragraph" w:customStyle="1" w:styleId="Beschriftung1">
    <w:name w:val="Beschriftung1"/>
    <w:basedOn w:val="Standard"/>
    <w:qFormat/>
    <w:pPr>
      <w:suppressLineNumbers/>
      <w:spacing w:before="120" w:after="120"/>
    </w:pPr>
    <w:rPr>
      <w:rFonts w:cs="Tahoma"/>
      <w:i/>
      <w:iCs/>
      <w:sz w:val="24"/>
      <w:szCs w:val="24"/>
    </w:rPr>
  </w:style>
  <w:style w:type="paragraph" w:customStyle="1" w:styleId="Kopf-undFuzeile">
    <w:name w:val="Kopf- und Fußzeile"/>
    <w:basedOn w:val="Standard"/>
    <w:qFormat/>
  </w:style>
  <w:style w:type="paragraph" w:styleId="Fuzeile">
    <w:name w:val="footer"/>
    <w:basedOn w:val="Standard"/>
    <w:link w:val="FuzeileZchn"/>
    <w:uiPriority w:val="99"/>
    <w:pPr>
      <w:tabs>
        <w:tab w:val="center" w:pos="4819"/>
        <w:tab w:val="right" w:pos="9071"/>
      </w:tabs>
      <w:textAlignment w:val="baseline"/>
    </w:pPr>
    <w:rPr>
      <w:rFonts w:ascii="Arial" w:hAnsi="Arial" w:cs="Arial"/>
      <w:sz w:val="22"/>
      <w:szCs w:val="20"/>
    </w:rPr>
  </w:style>
  <w:style w:type="paragraph" w:styleId="Kopfzeile">
    <w:name w:val="header"/>
    <w:basedOn w:val="Standard"/>
    <w:pPr>
      <w:tabs>
        <w:tab w:val="center" w:pos="4819"/>
        <w:tab w:val="right" w:pos="9071"/>
      </w:tabs>
      <w:textAlignment w:val="baseline"/>
    </w:pPr>
    <w:rPr>
      <w:rFonts w:ascii="Arial" w:hAnsi="Arial" w:cs="Arial"/>
      <w:sz w:val="22"/>
      <w:szCs w:val="20"/>
    </w:rPr>
  </w:style>
  <w:style w:type="paragraph" w:customStyle="1" w:styleId="SPD">
    <w:name w:val="SPD"/>
    <w:qFormat/>
    <w:pPr>
      <w:spacing w:line="240" w:lineRule="atLeast"/>
      <w:ind w:left="907" w:right="964"/>
      <w:textAlignment w:val="baseline"/>
    </w:pPr>
    <w:rPr>
      <w:rFonts w:ascii="Futura Medium" w:eastAsia="Arial" w:hAnsi="Futura Medium" w:cs="Futura Medium"/>
      <w:b/>
      <w:sz w:val="26"/>
      <w:lang w:val="en-GB" w:eastAsia="zh-CN"/>
    </w:rPr>
  </w:style>
  <w:style w:type="paragraph" w:customStyle="1" w:styleId="Kontrollkstchenliste">
    <w:name w:val="Kontrollkästchenliste"/>
    <w:basedOn w:val="Standard"/>
    <w:qFormat/>
    <w:pPr>
      <w:spacing w:before="360" w:after="360"/>
    </w:pPr>
    <w:rPr>
      <w:sz w:val="20"/>
      <w:szCs w:val="20"/>
    </w:rPr>
  </w:style>
  <w:style w:type="paragraph" w:customStyle="1" w:styleId="Gruformel1">
    <w:name w:val="Grußformel1"/>
    <w:basedOn w:val="Standard"/>
    <w:next w:val="Unterschrift"/>
    <w:qFormat/>
    <w:pPr>
      <w:keepNext/>
      <w:spacing w:after="120" w:line="240" w:lineRule="atLeast"/>
      <w:jc w:val="both"/>
    </w:pPr>
    <w:rPr>
      <w:kern w:val="2"/>
      <w:sz w:val="20"/>
      <w:szCs w:val="20"/>
    </w:rPr>
  </w:style>
  <w:style w:type="paragraph" w:styleId="Unterschrift">
    <w:name w:val="Signature"/>
    <w:basedOn w:val="Standard"/>
    <w:next w:val="FirmenunterschriftAbteilung"/>
    <w:pPr>
      <w:keepNext/>
      <w:spacing w:before="720" w:line="240" w:lineRule="atLeast"/>
      <w:jc w:val="both"/>
    </w:pPr>
    <w:rPr>
      <w:kern w:val="2"/>
      <w:sz w:val="20"/>
      <w:szCs w:val="20"/>
    </w:rPr>
  </w:style>
  <w:style w:type="paragraph" w:customStyle="1" w:styleId="FirmenunterschriftAbteilung">
    <w:name w:val="Firmenunterschrift Abteilung"/>
    <w:basedOn w:val="Unterschrift"/>
    <w:next w:val="Standard"/>
    <w:qFormat/>
    <w:pPr>
      <w:spacing w:before="0"/>
    </w:pPr>
  </w:style>
  <w:style w:type="paragraph" w:styleId="Textkrper-Zeileneinzug">
    <w:name w:val="Body Text Indent"/>
    <w:basedOn w:val="Standard"/>
    <w:pPr>
      <w:tabs>
        <w:tab w:val="left" w:pos="567"/>
        <w:tab w:val="left" w:pos="6804"/>
      </w:tabs>
      <w:ind w:left="2265" w:hanging="2265"/>
      <w:textAlignment w:val="baseline"/>
    </w:pPr>
    <w:rPr>
      <w:rFonts w:ascii="Futura Medium" w:hAnsi="Futura Medium" w:cs="Futura Medium"/>
      <w:sz w:val="22"/>
      <w:szCs w:val="20"/>
    </w:rPr>
  </w:style>
  <w:style w:type="paragraph" w:customStyle="1" w:styleId="Dokumentstruktur1">
    <w:name w:val="Dokumentstruktur1"/>
    <w:basedOn w:val="Standard"/>
    <w:qFormat/>
    <w:pPr>
      <w:shd w:val="clear" w:color="auto" w:fill="000080"/>
    </w:pPr>
    <w:rPr>
      <w:rFonts w:ascii="Tahoma" w:hAnsi="Tahoma" w:cs="Tahoma"/>
    </w:rPr>
  </w:style>
  <w:style w:type="paragraph" w:styleId="Sprechblasentext">
    <w:name w:val="Balloon Text"/>
    <w:basedOn w:val="Standard"/>
    <w:qFormat/>
    <w:rPr>
      <w:rFonts w:ascii="Tahoma" w:hAnsi="Tahoma" w:cs="Tahoma"/>
      <w:sz w:val="16"/>
      <w:szCs w:val="16"/>
    </w:rPr>
  </w:style>
  <w:style w:type="paragraph" w:styleId="Listenabsatz">
    <w:name w:val="List Paragraph"/>
    <w:basedOn w:val="Standard"/>
    <w:qFormat/>
    <w:pPr>
      <w:ind w:left="708"/>
    </w:pPr>
  </w:style>
  <w:style w:type="paragraph" w:styleId="StandardWeb">
    <w:name w:val="Normal (Web)"/>
    <w:basedOn w:val="Standard"/>
    <w:qFormat/>
    <w:pPr>
      <w:spacing w:before="280" w:after="280"/>
    </w:pPr>
    <w:rPr>
      <w:rFonts w:ascii="Times New Roman" w:hAnsi="Times New Roman" w:cs="Times New Roman"/>
      <w:sz w:val="24"/>
      <w:szCs w:val="24"/>
    </w:rPr>
  </w:style>
  <w:style w:type="paragraph" w:customStyle="1" w:styleId="StandardWeb1">
    <w:name w:val="Standard (Web)1"/>
    <w:basedOn w:val="Standard"/>
    <w:qFormat/>
    <w:pPr>
      <w:suppressAutoHyphens/>
      <w:spacing w:after="200" w:line="276" w:lineRule="auto"/>
    </w:pPr>
    <w:rPr>
      <w:rFonts w:ascii="Calibri" w:eastAsia="SimSun" w:hAnsi="Calibri" w:cs="Calibri"/>
      <w:kern w:val="2"/>
      <w:sz w:val="22"/>
    </w:rPr>
  </w:style>
  <w:style w:type="paragraph" w:customStyle="1" w:styleId="Listenabsatz1">
    <w:name w:val="Listenabsatz1"/>
    <w:basedOn w:val="Standard"/>
    <w:qFormat/>
    <w:pPr>
      <w:suppressAutoHyphens/>
      <w:spacing w:after="200" w:line="276" w:lineRule="auto"/>
    </w:pPr>
    <w:rPr>
      <w:rFonts w:ascii="Calibri" w:eastAsia="SimSun" w:hAnsi="Calibri" w:cs="Calibri"/>
      <w:kern w:val="2"/>
      <w:sz w:val="22"/>
    </w:r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paragraph" w:customStyle="1" w:styleId="Rahmeninhalt">
    <w:name w:val="Rahmeninhalt"/>
    <w:basedOn w:val="Textkrper"/>
    <w:qFormat/>
  </w:style>
  <w:style w:type="paragraph" w:customStyle="1" w:styleId="Kommentartext1">
    <w:name w:val="Kommentartext1"/>
    <w:basedOn w:val="Standard"/>
    <w:qFormat/>
    <w:rPr>
      <w:sz w:val="20"/>
      <w:szCs w:val="20"/>
    </w:rPr>
  </w:style>
  <w:style w:type="paragraph" w:styleId="Kommentarthema">
    <w:name w:val="annotation subject"/>
    <w:basedOn w:val="Kommentartext1"/>
    <w:next w:val="Kommentartext1"/>
    <w:qFormat/>
    <w:rPr>
      <w:b/>
      <w:bCs/>
    </w:rPr>
  </w:style>
  <w:style w:type="paragraph" w:customStyle="1" w:styleId="ObjektmitPfeilspitze">
    <w:name w:val="Objekt mit Pfeilspitze"/>
    <w:basedOn w:val="Standard"/>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ObjektmitSchatten">
    <w:name w:val="Objekt mit Schatten"/>
    <w:basedOn w:val="Standard"/>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ObjektohneFllung">
    <w:name w:val="Objekt ohne Füllung"/>
    <w:basedOn w:val="Standard"/>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ObjektohneFllungundLinie">
    <w:name w:val="Objekt ohne Füllung und Linie"/>
    <w:basedOn w:val="Standard"/>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TextkrperBlocksatz">
    <w:name w:val="Textkörper Blocksatz"/>
    <w:basedOn w:val="Standard"/>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Titel1">
    <w:name w:val="Titel1"/>
    <w:basedOn w:val="Standard"/>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Noto Sans CJK SC Regular" w:hAnsi="Noto Sans CJK SC Regular" w:cs="Noto Sans CJK SC Regular"/>
      <w:color w:val="000000"/>
      <w:sz w:val="24"/>
    </w:rPr>
  </w:style>
  <w:style w:type="paragraph" w:customStyle="1" w:styleId="Titel2">
    <w:name w:val="Titel2"/>
    <w:basedOn w:val="Standard"/>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57" w:after="57"/>
      <w:ind w:right="113"/>
      <w:jc w:val="center"/>
    </w:pPr>
    <w:rPr>
      <w:rFonts w:ascii="Noto Sans CJK SC Regular" w:hAnsi="Noto Sans CJK SC Regular" w:cs="Noto Sans CJK SC Regular"/>
      <w:color w:val="000000"/>
      <w:sz w:val="24"/>
    </w:rPr>
  </w:style>
  <w:style w:type="paragraph" w:customStyle="1" w:styleId="berschrift10">
    <w:name w:val="Überschrift1"/>
    <w:basedOn w:val="Standard"/>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238" w:after="119"/>
    </w:pPr>
    <w:rPr>
      <w:rFonts w:ascii="Noto Sans CJK SC Regular" w:hAnsi="Noto Sans CJK SC Regular" w:cs="Noto Sans CJK SC Regular"/>
      <w:color w:val="000000"/>
      <w:sz w:val="24"/>
    </w:rPr>
  </w:style>
  <w:style w:type="paragraph" w:customStyle="1" w:styleId="berschrift20">
    <w:name w:val="Überschrift2"/>
    <w:basedOn w:val="Standard"/>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238" w:after="119"/>
    </w:pPr>
    <w:rPr>
      <w:rFonts w:ascii="Noto Sans CJK SC Regular" w:hAnsi="Noto Sans CJK SC Regular" w:cs="Noto Sans CJK SC Regular"/>
      <w:color w:val="000000"/>
      <w:sz w:val="24"/>
    </w:rPr>
  </w:style>
  <w:style w:type="paragraph" w:customStyle="1" w:styleId="Malinie">
    <w:name w:val="Maßlinie"/>
    <w:basedOn w:val="Standard"/>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StandardLTGliederung1">
    <w:name w:val="Standard~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ind w:left="540" w:hanging="540"/>
    </w:pPr>
    <w:rPr>
      <w:rFonts w:ascii="Noto Sans CJK SC Regular" w:eastAsia="DejaVu Sans" w:hAnsi="Noto Sans CJK SC Regular" w:cs="Liberation Sans"/>
      <w:color w:val="000000"/>
      <w:sz w:val="64"/>
      <w:szCs w:val="24"/>
      <w:lang w:eastAsia="zh-CN" w:bidi="hi-IN"/>
    </w:rPr>
  </w:style>
  <w:style w:type="paragraph" w:customStyle="1" w:styleId="StandardLTGliederung2">
    <w:name w:val="Standard~LT~Gliederung 2"/>
    <w:basedOn w:val="Standard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ind w:left="1170" w:hanging="450"/>
    </w:pPr>
    <w:rPr>
      <w:rFonts w:cs="Noto Sans CJK SC Regular"/>
      <w:sz w:val="56"/>
    </w:rPr>
  </w:style>
  <w:style w:type="paragraph" w:customStyle="1" w:styleId="StandardLTGliederung3">
    <w:name w:val="Standard~LT~Gliederung 3"/>
    <w:basedOn w:val="StandardLTGliederung2"/>
    <w:qFormat/>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StandardLTGliederung4">
    <w:name w:val="Standard~LT~Gliederung 4"/>
    <w:basedOn w:val="Standard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StandardLTGliederung5">
    <w:name w:val="Standard~LT~Gliederung 5"/>
    <w:basedOn w:val="Standard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Noto Sans CJK SC Regular" w:eastAsia="DejaVu Sans" w:hAnsi="Noto Sans CJK SC Regular" w:cs="Liberation Sans"/>
      <w:b/>
      <w:color w:val="000000"/>
      <w:sz w:val="48"/>
      <w:szCs w:val="24"/>
      <w:lang w:eastAsia="zh-CN" w:bidi="hi-IN"/>
    </w:rPr>
  </w:style>
  <w:style w:type="paragraph" w:customStyle="1" w:styleId="StandardLTUntertitel">
    <w:name w:val="Standard~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ind w:left="540" w:hanging="540"/>
      <w:jc w:val="center"/>
    </w:pPr>
    <w:rPr>
      <w:rFonts w:ascii="Noto Sans CJK SC Regular" w:eastAsia="DejaVu Sans" w:hAnsi="Noto Sans CJK SC Regular" w:cs="Liberation Sans"/>
      <w:color w:val="000000"/>
      <w:sz w:val="64"/>
      <w:szCs w:val="24"/>
      <w:lang w:eastAsia="zh-CN" w:bidi="hi-IN"/>
    </w:rPr>
  </w:style>
  <w:style w:type="paragraph" w:customStyle="1" w:styleId="StandardLTNotizen">
    <w:name w:val="Standard~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FreeSans" w:eastAsia="DejaVu Sans" w:hAnsi="FreeSans" w:cs="Liberation Sans"/>
      <w:color w:val="000000"/>
      <w:sz w:val="24"/>
      <w:szCs w:val="24"/>
      <w:lang w:eastAsia="zh-CN" w:bidi="hi-IN"/>
    </w:rPr>
  </w:style>
  <w:style w:type="paragraph" w:customStyle="1" w:styleId="StandardLTHintergrundobjekte">
    <w:name w:val="Standard~LT~Hintergrundobjekte"/>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eastAsia="DejaVu Sans" w:hAnsi="Noto Sans CJK SC Regular" w:cs="Liberation Sans"/>
      <w:color w:val="000000"/>
      <w:sz w:val="24"/>
      <w:szCs w:val="24"/>
      <w:lang w:eastAsia="zh-CN" w:bidi="hi-IN"/>
    </w:rPr>
  </w:style>
  <w:style w:type="paragraph" w:customStyle="1" w:styleId="StandardLTHintergrund">
    <w:name w:val="Standard~LT~Hintergrund"/>
    <w:qFormat/>
    <w:pPr>
      <w:jc w:val="center"/>
    </w:pPr>
    <w:rPr>
      <w:rFonts w:ascii="Liberation Serif" w:eastAsia="DejaVu Sans" w:hAnsi="Liberation Serif" w:cs="Liberation Sans"/>
      <w:sz w:val="24"/>
      <w:szCs w:val="24"/>
      <w:lang w:eastAsia="zh-CN" w:bidi="hi-IN"/>
    </w:rPr>
  </w:style>
  <w:style w:type="paragraph" w:customStyle="1" w:styleId="default">
    <w:name w:val="default"/>
    <w:qFormat/>
    <w:pPr>
      <w:spacing w:line="200" w:lineRule="atLeast"/>
    </w:pPr>
    <w:rPr>
      <w:rFonts w:ascii="FreeSans" w:eastAsia="DejaVu Sans" w:hAnsi="FreeSans" w:cs="Liberation Sans"/>
      <w:color w:val="000000"/>
      <w:sz w:val="36"/>
      <w:szCs w:val="24"/>
      <w:lang w:eastAsia="zh-CN" w:bidi="hi-IN"/>
    </w:rPr>
  </w:style>
  <w:style w:type="paragraph" w:customStyle="1" w:styleId="gray1">
    <w:name w:val="gray1"/>
    <w:basedOn w:val="default"/>
    <w:qFormat/>
    <w:rPr>
      <w:rFonts w:cs="FreeSans"/>
    </w:rPr>
  </w:style>
  <w:style w:type="paragraph" w:customStyle="1" w:styleId="gray2">
    <w:name w:val="gray2"/>
    <w:basedOn w:val="default"/>
    <w:qFormat/>
    <w:rPr>
      <w:rFonts w:cs="FreeSans"/>
    </w:rPr>
  </w:style>
  <w:style w:type="paragraph" w:customStyle="1" w:styleId="gray3">
    <w:name w:val="gray3"/>
    <w:basedOn w:val="default"/>
    <w:qFormat/>
    <w:rPr>
      <w:rFonts w:cs="FreeSans"/>
    </w:rPr>
  </w:style>
  <w:style w:type="paragraph" w:customStyle="1" w:styleId="bw1">
    <w:name w:val="bw1"/>
    <w:basedOn w:val="default"/>
    <w:qFormat/>
    <w:rPr>
      <w:rFonts w:cs="FreeSans"/>
    </w:rPr>
  </w:style>
  <w:style w:type="paragraph" w:customStyle="1" w:styleId="bw2">
    <w:name w:val="bw2"/>
    <w:basedOn w:val="default"/>
    <w:qFormat/>
    <w:rPr>
      <w:rFonts w:cs="FreeSans"/>
    </w:rPr>
  </w:style>
  <w:style w:type="paragraph" w:customStyle="1" w:styleId="bw3">
    <w:name w:val="bw3"/>
    <w:basedOn w:val="default"/>
    <w:qFormat/>
    <w:rPr>
      <w:rFonts w:cs="FreeSans"/>
    </w:rPr>
  </w:style>
  <w:style w:type="paragraph" w:customStyle="1" w:styleId="orange1">
    <w:name w:val="orange1"/>
    <w:basedOn w:val="default"/>
    <w:qFormat/>
    <w:rPr>
      <w:rFonts w:cs="FreeSans"/>
    </w:rPr>
  </w:style>
  <w:style w:type="paragraph" w:customStyle="1" w:styleId="orange2">
    <w:name w:val="orange2"/>
    <w:basedOn w:val="default"/>
    <w:qFormat/>
    <w:rPr>
      <w:rFonts w:cs="FreeSans"/>
    </w:rPr>
  </w:style>
  <w:style w:type="paragraph" w:customStyle="1" w:styleId="orange3">
    <w:name w:val="orange3"/>
    <w:basedOn w:val="default"/>
    <w:qFormat/>
    <w:rPr>
      <w:rFonts w:cs="FreeSans"/>
    </w:rPr>
  </w:style>
  <w:style w:type="paragraph" w:customStyle="1" w:styleId="turquoise1">
    <w:name w:val="turquoise1"/>
    <w:basedOn w:val="default"/>
    <w:qFormat/>
    <w:rPr>
      <w:rFonts w:cs="FreeSans"/>
    </w:rPr>
  </w:style>
  <w:style w:type="paragraph" w:customStyle="1" w:styleId="turquoise2">
    <w:name w:val="turquoise2"/>
    <w:basedOn w:val="default"/>
    <w:qFormat/>
    <w:rPr>
      <w:rFonts w:cs="FreeSans"/>
    </w:rPr>
  </w:style>
  <w:style w:type="paragraph" w:customStyle="1" w:styleId="turquoise3">
    <w:name w:val="turquoise3"/>
    <w:basedOn w:val="default"/>
    <w:qFormat/>
    <w:rPr>
      <w:rFonts w:cs="FreeSans"/>
    </w:rPr>
  </w:style>
  <w:style w:type="paragraph" w:customStyle="1" w:styleId="blue1">
    <w:name w:val="blue1"/>
    <w:basedOn w:val="default"/>
    <w:qFormat/>
    <w:rPr>
      <w:rFonts w:cs="FreeSans"/>
    </w:rPr>
  </w:style>
  <w:style w:type="paragraph" w:customStyle="1" w:styleId="blue2">
    <w:name w:val="blue2"/>
    <w:basedOn w:val="default"/>
    <w:qFormat/>
    <w:rPr>
      <w:rFonts w:cs="FreeSans"/>
    </w:rPr>
  </w:style>
  <w:style w:type="paragraph" w:customStyle="1" w:styleId="blue3">
    <w:name w:val="blue3"/>
    <w:basedOn w:val="default"/>
    <w:qFormat/>
    <w:rPr>
      <w:rFonts w:cs="FreeSans"/>
    </w:rPr>
  </w:style>
  <w:style w:type="paragraph" w:customStyle="1" w:styleId="sun1">
    <w:name w:val="sun1"/>
    <w:basedOn w:val="default"/>
    <w:qFormat/>
    <w:rPr>
      <w:rFonts w:cs="FreeSans"/>
    </w:rPr>
  </w:style>
  <w:style w:type="paragraph" w:customStyle="1" w:styleId="sun2">
    <w:name w:val="sun2"/>
    <w:basedOn w:val="default"/>
    <w:qFormat/>
    <w:rPr>
      <w:rFonts w:cs="FreeSans"/>
    </w:rPr>
  </w:style>
  <w:style w:type="paragraph" w:customStyle="1" w:styleId="sun3">
    <w:name w:val="sun3"/>
    <w:basedOn w:val="default"/>
    <w:qFormat/>
    <w:rPr>
      <w:rFonts w:cs="FreeSans"/>
    </w:rPr>
  </w:style>
  <w:style w:type="paragraph" w:customStyle="1" w:styleId="earth1">
    <w:name w:val="earth1"/>
    <w:basedOn w:val="default"/>
    <w:qFormat/>
    <w:rPr>
      <w:rFonts w:cs="FreeSans"/>
    </w:rPr>
  </w:style>
  <w:style w:type="paragraph" w:customStyle="1" w:styleId="earth2">
    <w:name w:val="earth2"/>
    <w:basedOn w:val="default"/>
    <w:qFormat/>
    <w:rPr>
      <w:rFonts w:cs="FreeSans"/>
    </w:rPr>
  </w:style>
  <w:style w:type="paragraph" w:customStyle="1" w:styleId="earth3">
    <w:name w:val="earth3"/>
    <w:basedOn w:val="default"/>
    <w:qFormat/>
    <w:rPr>
      <w:rFonts w:cs="FreeSans"/>
    </w:rPr>
  </w:style>
  <w:style w:type="paragraph" w:customStyle="1" w:styleId="green1">
    <w:name w:val="green1"/>
    <w:basedOn w:val="default"/>
    <w:qFormat/>
    <w:rPr>
      <w:rFonts w:cs="FreeSans"/>
    </w:rPr>
  </w:style>
  <w:style w:type="paragraph" w:customStyle="1" w:styleId="green2">
    <w:name w:val="green2"/>
    <w:basedOn w:val="default"/>
    <w:qFormat/>
    <w:rPr>
      <w:rFonts w:cs="FreeSans"/>
    </w:rPr>
  </w:style>
  <w:style w:type="paragraph" w:customStyle="1" w:styleId="green3">
    <w:name w:val="green3"/>
    <w:basedOn w:val="default"/>
    <w:qFormat/>
    <w:rPr>
      <w:rFonts w:cs="FreeSans"/>
    </w:rPr>
  </w:style>
  <w:style w:type="paragraph" w:customStyle="1" w:styleId="seetang1">
    <w:name w:val="seetang1"/>
    <w:basedOn w:val="default"/>
    <w:qFormat/>
    <w:rPr>
      <w:rFonts w:cs="FreeSans"/>
    </w:rPr>
  </w:style>
  <w:style w:type="paragraph" w:customStyle="1" w:styleId="seetang2">
    <w:name w:val="seetang2"/>
    <w:basedOn w:val="default"/>
    <w:qFormat/>
    <w:rPr>
      <w:rFonts w:cs="FreeSans"/>
    </w:rPr>
  </w:style>
  <w:style w:type="paragraph" w:customStyle="1" w:styleId="seetang3">
    <w:name w:val="seetang3"/>
    <w:basedOn w:val="default"/>
    <w:qFormat/>
    <w:rPr>
      <w:rFonts w:cs="FreeSans"/>
    </w:rPr>
  </w:style>
  <w:style w:type="paragraph" w:customStyle="1" w:styleId="lightblue1">
    <w:name w:val="lightblue1"/>
    <w:basedOn w:val="default"/>
    <w:qFormat/>
    <w:rPr>
      <w:rFonts w:cs="FreeSans"/>
    </w:rPr>
  </w:style>
  <w:style w:type="paragraph" w:customStyle="1" w:styleId="lightblue2">
    <w:name w:val="lightblue2"/>
    <w:basedOn w:val="default"/>
    <w:qFormat/>
    <w:rPr>
      <w:rFonts w:cs="FreeSans"/>
    </w:rPr>
  </w:style>
  <w:style w:type="paragraph" w:customStyle="1" w:styleId="lightblue3">
    <w:name w:val="lightblue3"/>
    <w:basedOn w:val="default"/>
    <w:qFormat/>
    <w:rPr>
      <w:rFonts w:cs="FreeSans"/>
    </w:rPr>
  </w:style>
  <w:style w:type="paragraph" w:customStyle="1" w:styleId="yellow1">
    <w:name w:val="yellow1"/>
    <w:basedOn w:val="default"/>
    <w:qFormat/>
    <w:rPr>
      <w:rFonts w:cs="FreeSans"/>
    </w:rPr>
  </w:style>
  <w:style w:type="paragraph" w:customStyle="1" w:styleId="yellow2">
    <w:name w:val="yellow2"/>
    <w:basedOn w:val="default"/>
    <w:qFormat/>
    <w:rPr>
      <w:rFonts w:cs="FreeSans"/>
    </w:rPr>
  </w:style>
  <w:style w:type="paragraph" w:customStyle="1" w:styleId="yellow3">
    <w:name w:val="yellow3"/>
    <w:basedOn w:val="default"/>
    <w:qFormat/>
    <w:rPr>
      <w:rFonts w:cs="FreeSans"/>
    </w:rPr>
  </w:style>
  <w:style w:type="paragraph" w:customStyle="1" w:styleId="Hintergrundobjekte">
    <w:name w:val="Hintergrundobjekte"/>
    <w:qFormat/>
    <w:rPr>
      <w:rFonts w:ascii="Liberation Serif" w:eastAsia="DejaVu Sans" w:hAnsi="Liberation Serif" w:cs="Liberation Sans"/>
      <w:kern w:val="2"/>
      <w:sz w:val="24"/>
      <w:szCs w:val="24"/>
      <w:lang w:eastAsia="zh-CN" w:bidi="hi-IN"/>
    </w:rPr>
  </w:style>
  <w:style w:type="paragraph" w:customStyle="1" w:styleId="Hintergrund">
    <w:name w:val="Hintergrund"/>
    <w:qFormat/>
    <w:pPr>
      <w:jc w:val="center"/>
    </w:pPr>
    <w:rPr>
      <w:rFonts w:ascii="Liberation Serif" w:eastAsia="DejaVu Sans" w:hAnsi="Liberation Serif" w:cs="Liberation Sans"/>
      <w:sz w:val="24"/>
      <w:szCs w:val="24"/>
      <w:lang w:eastAsia="zh-CN" w:bidi="hi-IN"/>
    </w:rPr>
  </w:style>
  <w:style w:type="paragraph" w:customStyle="1" w:styleId="Notizen">
    <w:name w:val="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FreeSans" w:eastAsia="DejaVu Sans" w:hAnsi="FreeSans" w:cs="Liberation Sans"/>
      <w:color w:val="000000"/>
      <w:kern w:val="2"/>
      <w:sz w:val="24"/>
      <w:szCs w:val="24"/>
      <w:lang w:eastAsia="zh-CN" w:bidi="hi-IN"/>
    </w:rPr>
  </w:style>
  <w:style w:type="paragraph" w:customStyle="1" w:styleId="Gliederung1">
    <w:name w:val="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212"/>
      <w:ind w:left="540" w:hanging="540"/>
    </w:pPr>
    <w:rPr>
      <w:rFonts w:ascii="Noto Sans CJK SC Regular" w:eastAsia="DejaVu Sans" w:hAnsi="Noto Sans CJK SC Regular" w:cs="Liberation Sans"/>
      <w:color w:val="000000"/>
      <w:kern w:val="2"/>
      <w:sz w:val="86"/>
      <w:szCs w:val="24"/>
      <w:lang w:eastAsia="zh-CN" w:bidi="hi-IN"/>
    </w:rPr>
  </w:style>
  <w:style w:type="paragraph" w:customStyle="1" w:styleId="Gliederung2">
    <w:name w:val="Gliederung 2"/>
    <w:basedOn w:val="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85"/>
      <w:ind w:left="1170" w:hanging="450"/>
    </w:pPr>
    <w:rPr>
      <w:rFonts w:cs="Noto Sans CJK SC Regular"/>
      <w:sz w:val="74"/>
    </w:rPr>
  </w:style>
  <w:style w:type="paragraph" w:customStyle="1" w:styleId="Gliederung3">
    <w:name w:val="Gliederung 3"/>
    <w:basedOn w:val="Gliederung2"/>
    <w:qFormat/>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60"/>
      <w:ind w:left="1800" w:hanging="360"/>
    </w:pPr>
    <w:rPr>
      <w:sz w:val="64"/>
    </w:rPr>
  </w:style>
  <w:style w:type="paragraph" w:customStyle="1" w:styleId="Gliederung4">
    <w:name w:val="Gliederung 4"/>
    <w:basedOn w:val="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32"/>
      <w:ind w:left="2520"/>
    </w:pPr>
    <w:rPr>
      <w:sz w:val="54"/>
    </w:rPr>
  </w:style>
  <w:style w:type="paragraph" w:customStyle="1" w:styleId="Gliederung5">
    <w:name w:val="Gliederung 5"/>
    <w:basedOn w:val="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Gliederung6">
    <w:name w:val="Gliederung 6"/>
    <w:basedOn w:val="Gliederung5"/>
    <w:qFormat/>
  </w:style>
  <w:style w:type="paragraph" w:customStyle="1" w:styleId="Gliederung7">
    <w:name w:val="Gliederung 7"/>
    <w:basedOn w:val="Gliederung6"/>
    <w:qFormat/>
  </w:style>
  <w:style w:type="paragraph" w:customStyle="1" w:styleId="Gliederung8">
    <w:name w:val="Gliederung 8"/>
    <w:basedOn w:val="Gliederung7"/>
    <w:qFormat/>
  </w:style>
  <w:style w:type="paragraph" w:customStyle="1" w:styleId="Gliederung9">
    <w:name w:val="Gliederung 9"/>
    <w:basedOn w:val="Gliederung8"/>
    <w:qFormat/>
  </w:style>
  <w:style w:type="paragraph" w:customStyle="1" w:styleId="Titel1LTGliederung1">
    <w:name w:val="Titel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285" w:line="216" w:lineRule="auto"/>
      <w:ind w:left="540" w:hanging="540"/>
    </w:pPr>
    <w:rPr>
      <w:rFonts w:ascii="Noto Sans CJK SC Regular" w:eastAsia="DejaVu Sans" w:hAnsi="Noto Sans CJK SC Regular" w:cs="Liberation Sans"/>
      <w:color w:val="000000"/>
      <w:kern w:val="2"/>
      <w:sz w:val="64"/>
      <w:szCs w:val="24"/>
      <w:lang w:eastAsia="zh-CN" w:bidi="hi-IN"/>
    </w:rPr>
  </w:style>
  <w:style w:type="paragraph" w:customStyle="1" w:styleId="Titel1LTGliederung2">
    <w:name w:val="Titel1~LT~Gliederung 2"/>
    <w:basedOn w:val="Titel1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27"/>
      <w:ind w:left="1170" w:hanging="450"/>
    </w:pPr>
    <w:rPr>
      <w:rFonts w:cs="Noto Sans CJK SC Regular"/>
      <w:sz w:val="56"/>
    </w:rPr>
  </w:style>
  <w:style w:type="paragraph" w:customStyle="1" w:styleId="Titel1LTGliederung3">
    <w:name w:val="Titel1~LT~Gliederung 3"/>
    <w:basedOn w:val="Titel1LTGliederung2"/>
    <w:qFormat/>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70"/>
      <w:ind w:left="1800" w:hanging="360"/>
    </w:pPr>
    <w:rPr>
      <w:sz w:val="48"/>
    </w:rPr>
  </w:style>
  <w:style w:type="paragraph" w:customStyle="1" w:styleId="Titel1LTGliederung4">
    <w:name w:val="Titel1~LT~Gliederung 4"/>
    <w:basedOn w:val="Titel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15"/>
      <w:ind w:left="2520"/>
    </w:pPr>
    <w:rPr>
      <w:sz w:val="40"/>
    </w:rPr>
  </w:style>
  <w:style w:type="paragraph" w:customStyle="1" w:styleId="Titel1LTGliederung5">
    <w:name w:val="Titel1~LT~Gliederung 5"/>
    <w:basedOn w:val="Titel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57"/>
      <w:ind w:left="3240"/>
    </w:pPr>
  </w:style>
  <w:style w:type="paragraph" w:customStyle="1" w:styleId="Titel1LTGliederung6">
    <w:name w:val="Titel1~LT~Gliederung 6"/>
    <w:basedOn w:val="Titel1LTGliederung5"/>
    <w:qFormat/>
  </w:style>
  <w:style w:type="paragraph" w:customStyle="1" w:styleId="Titel1LTGliederung7">
    <w:name w:val="Titel1~LT~Gliederung 7"/>
    <w:basedOn w:val="Titel1LTGliederung6"/>
    <w:qFormat/>
  </w:style>
  <w:style w:type="paragraph" w:customStyle="1" w:styleId="Titel1LTGliederung8">
    <w:name w:val="Titel1~LT~Gliederung 8"/>
    <w:basedOn w:val="Titel1LTGliederung7"/>
    <w:qFormat/>
  </w:style>
  <w:style w:type="paragraph" w:customStyle="1" w:styleId="Titel1LTGliederung9">
    <w:name w:val="Titel1~LT~Gliederung 9"/>
    <w:basedOn w:val="Titel1LTGliederung8"/>
    <w:qFormat/>
  </w:style>
  <w:style w:type="paragraph" w:customStyle="1" w:styleId="Titel1LTTitel">
    <w:name w:val="Titel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6" w:lineRule="auto"/>
      <w:jc w:val="center"/>
    </w:pPr>
    <w:rPr>
      <w:rFonts w:ascii="Noto Sans CJK SC Regular" w:eastAsia="DejaVu Sans" w:hAnsi="Noto Sans CJK SC Regular" w:cs="Liberation Sans"/>
      <w:color w:val="000000"/>
      <w:kern w:val="2"/>
      <w:sz w:val="88"/>
      <w:szCs w:val="24"/>
      <w:lang w:eastAsia="zh-CN" w:bidi="hi-IN"/>
    </w:rPr>
  </w:style>
  <w:style w:type="paragraph" w:customStyle="1" w:styleId="Titel1LTUntertitel">
    <w:name w:val="Titel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16" w:lineRule="auto"/>
      <w:ind w:left="540" w:hanging="540"/>
      <w:jc w:val="center"/>
    </w:pPr>
    <w:rPr>
      <w:rFonts w:ascii="Noto Sans CJK SC Regular" w:eastAsia="DejaVu Sans" w:hAnsi="Noto Sans CJK SC Regular" w:cs="Liberation Sans"/>
      <w:color w:val="000000"/>
      <w:kern w:val="2"/>
      <w:sz w:val="64"/>
      <w:szCs w:val="24"/>
      <w:lang w:eastAsia="zh-CN" w:bidi="hi-IN"/>
    </w:rPr>
  </w:style>
  <w:style w:type="paragraph" w:customStyle="1" w:styleId="Titel1LTNotizen">
    <w:name w:val="Titel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FreeSans" w:eastAsia="DejaVu Sans" w:hAnsi="FreeSans" w:cs="Liberation Sans"/>
      <w:color w:val="000000"/>
      <w:kern w:val="2"/>
      <w:sz w:val="24"/>
      <w:szCs w:val="24"/>
      <w:lang w:eastAsia="zh-CN" w:bidi="hi-IN"/>
    </w:rPr>
  </w:style>
  <w:style w:type="paragraph" w:customStyle="1" w:styleId="Titel1LTHintergrundobjekte">
    <w:name w:val="Titel1~LT~Hintergrundobjekte"/>
    <w:qFormat/>
    <w:rPr>
      <w:rFonts w:ascii="Liberation Serif" w:eastAsia="DejaVu Sans" w:hAnsi="Liberation Serif" w:cs="Liberation Sans"/>
      <w:kern w:val="2"/>
      <w:sz w:val="24"/>
      <w:szCs w:val="24"/>
      <w:lang w:eastAsia="zh-CN" w:bidi="hi-IN"/>
    </w:rPr>
  </w:style>
  <w:style w:type="paragraph" w:customStyle="1" w:styleId="Titel1LTHintergrund">
    <w:name w:val="Titel1~LT~Hintergrund"/>
    <w:qFormat/>
    <w:pPr>
      <w:jc w:val="center"/>
    </w:pPr>
    <w:rPr>
      <w:rFonts w:ascii="Liberation Serif" w:eastAsia="DejaVu Sans" w:hAnsi="Liberation Serif" w:cs="Liberation Sans"/>
      <w:sz w:val="24"/>
      <w:szCs w:val="24"/>
      <w:lang w:eastAsia="zh-CN" w:bidi="hi-IN"/>
    </w:rPr>
  </w:style>
  <w:style w:type="paragraph" w:customStyle="1" w:styleId="Titel2LTGliederung1">
    <w:name w:val="Titel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212"/>
      <w:ind w:left="540" w:hanging="540"/>
    </w:pPr>
    <w:rPr>
      <w:rFonts w:ascii="Noto Sans CJK SC Regular" w:eastAsia="DejaVu Sans" w:hAnsi="Noto Sans CJK SC Regular" w:cs="Liberation Sans"/>
      <w:color w:val="000000"/>
      <w:kern w:val="2"/>
      <w:sz w:val="86"/>
      <w:szCs w:val="24"/>
      <w:lang w:eastAsia="zh-CN" w:bidi="hi-IN"/>
    </w:rPr>
  </w:style>
  <w:style w:type="paragraph" w:customStyle="1" w:styleId="Titel2LTGliederung2">
    <w:name w:val="Titel2~LT~Gliederung 2"/>
    <w:basedOn w:val="Titel2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85"/>
      <w:ind w:left="1170" w:hanging="450"/>
    </w:pPr>
    <w:rPr>
      <w:rFonts w:cs="Noto Sans CJK SC Regular"/>
      <w:sz w:val="74"/>
    </w:rPr>
  </w:style>
  <w:style w:type="paragraph" w:customStyle="1" w:styleId="Titel2LTGliederung3">
    <w:name w:val="Titel2~LT~Gliederung 3"/>
    <w:basedOn w:val="Titel2LTGliederung2"/>
    <w:qFormat/>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60"/>
      <w:ind w:left="1800" w:hanging="360"/>
    </w:pPr>
    <w:rPr>
      <w:sz w:val="64"/>
    </w:rPr>
  </w:style>
  <w:style w:type="paragraph" w:customStyle="1" w:styleId="Titel2LTGliederung4">
    <w:name w:val="Titel2~LT~Gliederung 4"/>
    <w:basedOn w:val="Titel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32"/>
      <w:ind w:left="2520"/>
    </w:pPr>
    <w:rPr>
      <w:sz w:val="54"/>
    </w:rPr>
  </w:style>
  <w:style w:type="paragraph" w:customStyle="1" w:styleId="Titel2LTGliederung5">
    <w:name w:val="Titel2~LT~Gliederung 5"/>
    <w:basedOn w:val="Titel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itel2LTGliederung6">
    <w:name w:val="Titel2~LT~Gliederung 6"/>
    <w:basedOn w:val="Titel2LTGliederung5"/>
    <w:qFormat/>
  </w:style>
  <w:style w:type="paragraph" w:customStyle="1" w:styleId="Titel2LTGliederung7">
    <w:name w:val="Titel2~LT~Gliederung 7"/>
    <w:basedOn w:val="Titel2LTGliederung6"/>
    <w:qFormat/>
  </w:style>
  <w:style w:type="paragraph" w:customStyle="1" w:styleId="Titel2LTGliederung8">
    <w:name w:val="Titel2~LT~Gliederung 8"/>
    <w:basedOn w:val="Titel2LTGliederung7"/>
    <w:qFormat/>
  </w:style>
  <w:style w:type="paragraph" w:customStyle="1" w:styleId="Titel2LTGliederung9">
    <w:name w:val="Titel2~LT~Gliederung 9"/>
    <w:basedOn w:val="Titel2LTGliederung8"/>
    <w:qFormat/>
  </w:style>
  <w:style w:type="paragraph" w:customStyle="1" w:styleId="Titel2LTTitel">
    <w:name w:val="Titel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Noto Sans CJK SC Regular" w:eastAsia="DejaVu Sans" w:hAnsi="Noto Sans CJK SC Regular" w:cs="Liberation Sans"/>
      <w:b/>
      <w:color w:val="000000"/>
      <w:kern w:val="2"/>
      <w:sz w:val="64"/>
      <w:szCs w:val="24"/>
      <w:lang w:eastAsia="zh-CN" w:bidi="hi-IN"/>
    </w:rPr>
  </w:style>
  <w:style w:type="paragraph" w:customStyle="1" w:styleId="Titel2LTUntertitel">
    <w:name w:val="Titel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ind w:left="540" w:hanging="540"/>
      <w:jc w:val="center"/>
    </w:pPr>
    <w:rPr>
      <w:rFonts w:ascii="Noto Sans CJK SC Regular" w:eastAsia="DejaVu Sans" w:hAnsi="Noto Sans CJK SC Regular" w:cs="Liberation Sans"/>
      <w:color w:val="000000"/>
      <w:kern w:val="2"/>
      <w:sz w:val="64"/>
      <w:szCs w:val="24"/>
      <w:lang w:eastAsia="zh-CN" w:bidi="hi-IN"/>
    </w:rPr>
  </w:style>
  <w:style w:type="paragraph" w:customStyle="1" w:styleId="Titel2LTNotizen">
    <w:name w:val="Titel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FreeSans" w:eastAsia="DejaVu Sans" w:hAnsi="FreeSans" w:cs="Liberation Sans"/>
      <w:color w:val="000000"/>
      <w:kern w:val="2"/>
      <w:sz w:val="24"/>
      <w:szCs w:val="24"/>
      <w:lang w:eastAsia="zh-CN" w:bidi="hi-IN"/>
    </w:rPr>
  </w:style>
  <w:style w:type="paragraph" w:customStyle="1" w:styleId="Titel2LTHintergrundobjekte">
    <w:name w:val="Titel2~LT~Hintergrundobjekte"/>
    <w:qFormat/>
    <w:rPr>
      <w:rFonts w:ascii="Liberation Serif" w:eastAsia="DejaVu Sans" w:hAnsi="Liberation Serif" w:cs="Liberation Sans"/>
      <w:kern w:val="2"/>
      <w:sz w:val="24"/>
      <w:szCs w:val="24"/>
      <w:lang w:eastAsia="zh-CN" w:bidi="hi-IN"/>
    </w:rPr>
  </w:style>
  <w:style w:type="paragraph" w:customStyle="1" w:styleId="Titel2LTHintergrund">
    <w:name w:val="Titel2~LT~Hintergrund"/>
    <w:qFormat/>
    <w:pPr>
      <w:jc w:val="center"/>
    </w:pPr>
    <w:rPr>
      <w:rFonts w:ascii="Liberation Serif" w:eastAsia="DejaVu Sans" w:hAnsi="Liberation Serif" w:cs="Liberation Sans"/>
      <w:sz w:val="24"/>
      <w:szCs w:val="24"/>
      <w:lang w:eastAsia="zh-CN" w:bidi="hi-IN"/>
    </w:rPr>
  </w:style>
  <w:style w:type="paragraph" w:customStyle="1" w:styleId="Titel3LTGliederung1">
    <w:name w:val="Titel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212"/>
      <w:ind w:left="540" w:hanging="540"/>
    </w:pPr>
    <w:rPr>
      <w:rFonts w:ascii="Noto Sans CJK SC Regular" w:eastAsia="DejaVu Sans" w:hAnsi="Noto Sans CJK SC Regular" w:cs="Liberation Sans"/>
      <w:color w:val="000000"/>
      <w:kern w:val="2"/>
      <w:sz w:val="86"/>
      <w:szCs w:val="24"/>
      <w:lang w:eastAsia="zh-CN" w:bidi="hi-IN"/>
    </w:rPr>
  </w:style>
  <w:style w:type="paragraph" w:customStyle="1" w:styleId="Titel3LTGliederung2">
    <w:name w:val="Titel3~LT~Gliederung 2"/>
    <w:basedOn w:val="Titel3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85"/>
      <w:ind w:left="1170" w:hanging="450"/>
    </w:pPr>
    <w:rPr>
      <w:rFonts w:cs="Noto Sans CJK SC Regular"/>
      <w:sz w:val="74"/>
    </w:rPr>
  </w:style>
  <w:style w:type="paragraph" w:customStyle="1" w:styleId="Titel3LTGliederung3">
    <w:name w:val="Titel3~LT~Gliederung 3"/>
    <w:basedOn w:val="Titel3LTGliederung2"/>
    <w:qFormat/>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60"/>
      <w:ind w:left="1800" w:hanging="360"/>
    </w:pPr>
    <w:rPr>
      <w:sz w:val="64"/>
    </w:rPr>
  </w:style>
  <w:style w:type="paragraph" w:customStyle="1" w:styleId="Titel3LTGliederung4">
    <w:name w:val="Titel3~LT~Gliederung 4"/>
    <w:basedOn w:val="Titel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32"/>
      <w:ind w:left="2520"/>
    </w:pPr>
    <w:rPr>
      <w:sz w:val="54"/>
    </w:rPr>
  </w:style>
  <w:style w:type="paragraph" w:customStyle="1" w:styleId="Titel3LTGliederung5">
    <w:name w:val="Titel3~LT~Gliederung 5"/>
    <w:basedOn w:val="Titel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itel3LTGliederung6">
    <w:name w:val="Titel3~LT~Gliederung 6"/>
    <w:basedOn w:val="Titel3LTGliederung5"/>
    <w:qFormat/>
  </w:style>
  <w:style w:type="paragraph" w:customStyle="1" w:styleId="Titel3LTGliederung7">
    <w:name w:val="Titel3~LT~Gliederung 7"/>
    <w:basedOn w:val="Titel3LTGliederung6"/>
    <w:qFormat/>
  </w:style>
  <w:style w:type="paragraph" w:customStyle="1" w:styleId="Titel3LTGliederung8">
    <w:name w:val="Titel3~LT~Gliederung 8"/>
    <w:basedOn w:val="Titel3LTGliederung7"/>
    <w:qFormat/>
  </w:style>
  <w:style w:type="paragraph" w:customStyle="1" w:styleId="Titel3LTGliederung9">
    <w:name w:val="Titel3~LT~Gliederung 9"/>
    <w:basedOn w:val="Titel3LTGliederung8"/>
    <w:qFormat/>
  </w:style>
  <w:style w:type="paragraph" w:customStyle="1" w:styleId="Titel3LTTitel">
    <w:name w:val="Titel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Noto Sans CJK SC Regular" w:eastAsia="DejaVu Sans" w:hAnsi="Noto Sans CJK SC Regular" w:cs="Liberation Sans"/>
      <w:b/>
      <w:color w:val="000000"/>
      <w:kern w:val="2"/>
      <w:sz w:val="64"/>
      <w:szCs w:val="24"/>
      <w:lang w:eastAsia="zh-CN" w:bidi="hi-IN"/>
    </w:rPr>
  </w:style>
  <w:style w:type="paragraph" w:customStyle="1" w:styleId="Titel3LTUntertitel">
    <w:name w:val="Titel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ind w:left="540" w:hanging="540"/>
      <w:jc w:val="center"/>
    </w:pPr>
    <w:rPr>
      <w:rFonts w:ascii="Noto Sans CJK SC Regular" w:eastAsia="DejaVu Sans" w:hAnsi="Noto Sans CJK SC Regular" w:cs="Liberation Sans"/>
      <w:color w:val="000000"/>
      <w:kern w:val="2"/>
      <w:sz w:val="64"/>
      <w:szCs w:val="24"/>
      <w:lang w:eastAsia="zh-CN" w:bidi="hi-IN"/>
    </w:rPr>
  </w:style>
  <w:style w:type="paragraph" w:customStyle="1" w:styleId="Titel3LTNotizen">
    <w:name w:val="Titel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FreeSans" w:eastAsia="DejaVu Sans" w:hAnsi="FreeSans" w:cs="Liberation Sans"/>
      <w:color w:val="000000"/>
      <w:kern w:val="2"/>
      <w:sz w:val="24"/>
      <w:szCs w:val="24"/>
      <w:lang w:eastAsia="zh-CN" w:bidi="hi-IN"/>
    </w:rPr>
  </w:style>
  <w:style w:type="paragraph" w:customStyle="1" w:styleId="Titel3LTHintergrundobjekte">
    <w:name w:val="Titel3~LT~Hintergrundobjekte"/>
    <w:qFormat/>
    <w:rPr>
      <w:rFonts w:ascii="Liberation Serif" w:eastAsia="DejaVu Sans" w:hAnsi="Liberation Serif" w:cs="Liberation Sans"/>
      <w:kern w:val="2"/>
      <w:sz w:val="24"/>
      <w:szCs w:val="24"/>
      <w:lang w:eastAsia="zh-CN" w:bidi="hi-IN"/>
    </w:rPr>
  </w:style>
  <w:style w:type="paragraph" w:customStyle="1" w:styleId="Titel3LTHintergrund">
    <w:name w:val="Titel3~LT~Hintergrund"/>
    <w:qFormat/>
    <w:pPr>
      <w:jc w:val="center"/>
    </w:pPr>
    <w:rPr>
      <w:rFonts w:ascii="Liberation Serif" w:eastAsia="DejaVu Sans" w:hAnsi="Liberation Serif" w:cs="Liberation Sans"/>
      <w:sz w:val="24"/>
      <w:szCs w:val="24"/>
      <w:lang w:eastAsia="zh-CN" w:bidi="hi-IN"/>
    </w:rPr>
  </w:style>
  <w:style w:type="paragraph" w:customStyle="1" w:styleId="Titel4LTGliederung1">
    <w:name w:val="Titel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212"/>
      <w:ind w:left="540" w:hanging="540"/>
    </w:pPr>
    <w:rPr>
      <w:rFonts w:ascii="Noto Sans CJK SC Regular" w:eastAsia="DejaVu Sans" w:hAnsi="Noto Sans CJK SC Regular" w:cs="Liberation Sans"/>
      <w:color w:val="000000"/>
      <w:kern w:val="2"/>
      <w:sz w:val="86"/>
      <w:szCs w:val="24"/>
      <w:lang w:eastAsia="zh-CN" w:bidi="hi-IN"/>
    </w:rPr>
  </w:style>
  <w:style w:type="paragraph" w:customStyle="1" w:styleId="Titel4LTGliederung2">
    <w:name w:val="Titel4~LT~Gliederung 2"/>
    <w:basedOn w:val="Titel4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85"/>
      <w:ind w:left="1170" w:hanging="450"/>
    </w:pPr>
    <w:rPr>
      <w:rFonts w:cs="Noto Sans CJK SC Regular"/>
      <w:sz w:val="74"/>
    </w:rPr>
  </w:style>
  <w:style w:type="paragraph" w:customStyle="1" w:styleId="Titel4LTGliederung3">
    <w:name w:val="Titel4~LT~Gliederung 3"/>
    <w:basedOn w:val="Titel4LTGliederung2"/>
    <w:qFormat/>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60"/>
      <w:ind w:left="1800" w:hanging="360"/>
    </w:pPr>
    <w:rPr>
      <w:sz w:val="64"/>
    </w:rPr>
  </w:style>
  <w:style w:type="paragraph" w:customStyle="1" w:styleId="Titel4LTGliederung4">
    <w:name w:val="Titel4~LT~Gliederung 4"/>
    <w:basedOn w:val="Titel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32"/>
      <w:ind w:left="2520"/>
    </w:pPr>
    <w:rPr>
      <w:sz w:val="54"/>
    </w:rPr>
  </w:style>
  <w:style w:type="paragraph" w:customStyle="1" w:styleId="Titel4LTGliederung5">
    <w:name w:val="Titel4~LT~Gliederung 5"/>
    <w:basedOn w:val="Titel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itel4LTGliederung6">
    <w:name w:val="Titel4~LT~Gliederung 6"/>
    <w:basedOn w:val="Titel4LTGliederung5"/>
    <w:qFormat/>
  </w:style>
  <w:style w:type="paragraph" w:customStyle="1" w:styleId="Titel4LTGliederung7">
    <w:name w:val="Titel4~LT~Gliederung 7"/>
    <w:basedOn w:val="Titel4LTGliederung6"/>
    <w:qFormat/>
  </w:style>
  <w:style w:type="paragraph" w:customStyle="1" w:styleId="Titel4LTGliederung8">
    <w:name w:val="Titel4~LT~Gliederung 8"/>
    <w:basedOn w:val="Titel4LTGliederung7"/>
    <w:qFormat/>
  </w:style>
  <w:style w:type="paragraph" w:customStyle="1" w:styleId="Titel4LTGliederung9">
    <w:name w:val="Titel4~LT~Gliederung 9"/>
    <w:basedOn w:val="Titel4LTGliederung8"/>
    <w:qFormat/>
  </w:style>
  <w:style w:type="paragraph" w:customStyle="1" w:styleId="Titel4LTTitel">
    <w:name w:val="Titel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Noto Sans CJK SC Regular" w:eastAsia="DejaVu Sans" w:hAnsi="Noto Sans CJK SC Regular" w:cs="Liberation Sans"/>
      <w:b/>
      <w:color w:val="000000"/>
      <w:kern w:val="2"/>
      <w:sz w:val="64"/>
      <w:szCs w:val="24"/>
      <w:lang w:eastAsia="zh-CN" w:bidi="hi-IN"/>
    </w:rPr>
  </w:style>
  <w:style w:type="paragraph" w:customStyle="1" w:styleId="Titel4LTUntertitel">
    <w:name w:val="Titel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ind w:left="540" w:hanging="540"/>
      <w:jc w:val="center"/>
    </w:pPr>
    <w:rPr>
      <w:rFonts w:ascii="Noto Sans CJK SC Regular" w:eastAsia="DejaVu Sans" w:hAnsi="Noto Sans CJK SC Regular" w:cs="Liberation Sans"/>
      <w:color w:val="000000"/>
      <w:kern w:val="2"/>
      <w:sz w:val="64"/>
      <w:szCs w:val="24"/>
      <w:lang w:eastAsia="zh-CN" w:bidi="hi-IN"/>
    </w:rPr>
  </w:style>
  <w:style w:type="paragraph" w:customStyle="1" w:styleId="Titel4LTNotizen">
    <w:name w:val="Titel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FreeSans" w:eastAsia="DejaVu Sans" w:hAnsi="FreeSans" w:cs="Liberation Sans"/>
      <w:color w:val="000000"/>
      <w:kern w:val="2"/>
      <w:sz w:val="24"/>
      <w:szCs w:val="24"/>
      <w:lang w:eastAsia="zh-CN" w:bidi="hi-IN"/>
    </w:rPr>
  </w:style>
  <w:style w:type="paragraph" w:customStyle="1" w:styleId="Titel4LTHintergrundobjekte">
    <w:name w:val="Titel4~LT~Hintergrundobjekte"/>
    <w:qFormat/>
    <w:rPr>
      <w:rFonts w:ascii="Liberation Serif" w:eastAsia="DejaVu Sans" w:hAnsi="Liberation Serif" w:cs="Liberation Sans"/>
      <w:kern w:val="2"/>
      <w:sz w:val="24"/>
      <w:szCs w:val="24"/>
      <w:lang w:eastAsia="zh-CN" w:bidi="hi-IN"/>
    </w:rPr>
  </w:style>
  <w:style w:type="paragraph" w:customStyle="1" w:styleId="Titel4LTHintergrund">
    <w:name w:val="Titel4~LT~Hintergrund"/>
    <w:qFormat/>
    <w:pPr>
      <w:jc w:val="center"/>
    </w:pPr>
    <w:rPr>
      <w:rFonts w:ascii="Liberation Serif" w:eastAsia="DejaVu Sans" w:hAnsi="Liberation Serif" w:cs="Liberation Sans"/>
      <w:sz w:val="24"/>
      <w:szCs w:val="24"/>
      <w:lang w:eastAsia="zh-CN" w:bidi="hi-IN"/>
    </w:rPr>
  </w:style>
  <w:style w:type="paragraph" w:customStyle="1" w:styleId="Tabelleninhalt0">
    <w:name w:val="Tabelleninhalt"/>
    <w:basedOn w:val="Standard"/>
    <w:qFormat/>
    <w:pPr>
      <w:suppressLineNumbers/>
    </w:pPr>
  </w:style>
  <w:style w:type="paragraph" w:customStyle="1" w:styleId="Tabellenberschrift0">
    <w:name w:val="Tabellenüberschrift"/>
    <w:basedOn w:val="Tabelleninhalt0"/>
    <w:qFormat/>
    <w:pPr>
      <w:jc w:val="center"/>
    </w:pPr>
    <w:rPr>
      <w:b/>
      <w:bCs/>
    </w:rPr>
  </w:style>
  <w:style w:type="paragraph" w:customStyle="1" w:styleId="Kommentartext2">
    <w:name w:val="Kommentartext2"/>
    <w:basedOn w:val="Standard"/>
    <w:qFormat/>
    <w:rPr>
      <w:sz w:val="20"/>
      <w:szCs w:val="20"/>
    </w:rPr>
  </w:style>
  <w:style w:type="paragraph" w:styleId="Funotentext">
    <w:name w:val="footnote text"/>
    <w:basedOn w:val="Standard"/>
    <w:link w:val="FunotentextZchn"/>
    <w:uiPriority w:val="99"/>
    <w:semiHidden/>
    <w:unhideWhenUsed/>
    <w:rsid w:val="008E6542"/>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andelsblatt.com/politik/deutschland/freihandel-nach-ceta-auch-mercosur-bruessel-und-" TargetMode="External"/><Relationship Id="rId13" Type="http://schemas.openxmlformats.org/officeDocument/2006/relationships/hyperlink" Target="https://canadians.org/sites/default/files/publications/report-ceta-committees-" TargetMode="External"/><Relationship Id="rId18" Type="http://schemas.openxmlformats.org/officeDocument/2006/relationships/hyperlink" Target="https://www.vie-publique.fr/discours/285819-catherine-colonna-12072022-politique-etrangere" TargetMode="External"/><Relationship Id="rId3" Type="http://schemas.openxmlformats.org/officeDocument/2006/relationships/hyperlink" Target="https://verfassungsblog.de/vorlaufig-teilweise-" TargetMode="External"/><Relationship Id="rId21" Type="http://schemas.openxmlformats.org/officeDocument/2006/relationships/hyperlink" Target="https://asj.spd.de/fileadmin/asj/Beschluesse/Bundesausschuss/BA_2016/" TargetMode="External"/><Relationship Id="rId7" Type="http://schemas.openxmlformats.org/officeDocument/2006/relationships/hyperlink" Target="https://www.bmwk.de/Redaktion/DE/Downloads/E/eckpunktpapier-handelsagenda.pdf" TargetMode="External"/><Relationship Id="rId12" Type="http://schemas.openxmlformats.org/officeDocument/2006/relationships/hyperlink" Target="https://www.bundestag.de/resource/blob/816856/d6f16f2cc8255676bed742d48e46fd79/19-9-" TargetMode="External"/><Relationship Id="rId17" Type="http://schemas.openxmlformats.org/officeDocument/2006/relationships/hyperlink" Target="https://policy.trade.ec.europa.eu/news/commission-presents-procedural-proposals-investment-court-system-" TargetMode="External"/><Relationship Id="rId2" Type="http://schemas.openxmlformats.org/officeDocument/2006/relationships/hyperlink" Target="http://www.bverfg.de/e/rs20220209_2bvr136816.html" TargetMode="External"/><Relationship Id="rId16" Type="http://schemas.openxmlformats.org/officeDocument/2006/relationships/hyperlink" Target="https://katharina-droege.de/sites/default/files/Kurzbewertung%20der%20Gemeinsamen%20Auslegungserkl" TargetMode="External"/><Relationship Id="rId20" Type="http://schemas.openxmlformats.org/officeDocument/2006/relationships/hyperlink" Target="https://www.spd.de/fileadmin/Dokumente/Beschluesse/Parteikonvent/" TargetMode="External"/><Relationship Id="rId1" Type="http://schemas.openxmlformats.org/officeDocument/2006/relationships/hyperlink" Target="http://www.bverfg.de/e/rs20161013_2bvr136816.html" TargetMode="External"/><Relationship Id="rId6" Type="http://schemas.openxmlformats.org/officeDocument/2006/relationships/hyperlink" Target="https://www.gruene-bundestag.de/fileadmin/media/gruenebundestag_de/themen_az/freihandel/" TargetMode="External"/><Relationship Id="rId11" Type="http://schemas.openxmlformats.org/officeDocument/2006/relationships/hyperlink" Target="https://www.bundesregierung.de/resource/blob/974430/847984/5b8bc23590d4cb2892b31c987ad672b7/2018-" TargetMode="External"/><Relationship Id="rId5" Type="http://schemas.openxmlformats.org/officeDocument/2006/relationships/hyperlink" Target="https://www.gruene-bundestag.de/fileadmin/media/gruenebundestag_de/themen_az/freihandel/" TargetMode="External"/><Relationship Id="rId15" Type="http://schemas.openxmlformats.org/officeDocument/2006/relationships/hyperlink" Target="https://eur-lex.europa.eu/resource.html?uri=cellar:4058b622-ec13-11e9-9c4e-" TargetMode="External"/><Relationship Id="rId10" Type="http://schemas.openxmlformats.org/officeDocument/2006/relationships/hyperlink" Target="https://www.tagesspiegel.de/politik/an-widerspruechlichkeit-kaum-zu-" TargetMode="External"/><Relationship Id="rId19" Type="http://schemas.openxmlformats.org/officeDocument/2006/relationships/hyperlink" Target="https://information.tv5monde.com/info/cinq-questions-sur-le-ceta-un-traite-funeste-ou-une-chance-pour-l-" TargetMode="External"/><Relationship Id="rId4" Type="http://schemas.openxmlformats.org/officeDocument/2006/relationships/hyperlink" Target="https://www.spd.de/fileadmin/Dokumente/Koalitionsvertrag/Koalitionsvertrag_2021-2025.pdf" TargetMode="External"/><Relationship Id="rId9" Type="http://schemas.openxmlformats.org/officeDocument/2006/relationships/hyperlink" Target="https://www.bundestag.de/dokumente/textarchiv/2022/kw27-de-ceta-900526" TargetMode="External"/><Relationship Id="rId14" Type="http://schemas.openxmlformats.org/officeDocument/2006/relationships/hyperlink" Target="https://canadians.org/sites/default/files/publications/report-ceta-committees-europe.pdf" TargetMode="External"/><Relationship Id="rId22" Type="http://schemas.openxmlformats.org/officeDocument/2006/relationships/hyperlink" Target="https://asj.spd.de/fileadmin/asj/Beschluesse/Bundesausschuss/BA_2018/"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BC232-F0D3-46AB-8F52-6958B63C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6086</Words>
  <Characters>38348</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Sozialdemokratische Partei Deutschlands</vt:lpstr>
    </vt:vector>
  </TitlesOfParts>
  <Company/>
  <LinksUpToDate>false</LinksUpToDate>
  <CharactersWithSpaces>44346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Sozialdemokratische Partei Deutschlands</dc:title>
  <dc:subject/>
  <dc:creator>RA'in Karin Schimmels</dc:creator>
  <dc:description/>
  <cp:lastModifiedBy>Folke</cp:lastModifiedBy>
  <cp:revision>2</cp:revision>
  <cp:lastPrinted>2022-08-15T17:45:00Z</cp:lastPrinted>
  <dcterms:created xsi:type="dcterms:W3CDTF">2022-10-17T21:01:00Z</dcterms:created>
  <dcterms:modified xsi:type="dcterms:W3CDTF">2022-10-17T21:01:00Z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